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E0A81" w14:textId="77777777" w:rsidR="00C9177B" w:rsidRDefault="00C9177B" w:rsidP="006B55E0">
      <w:pPr>
        <w:jc w:val="center"/>
        <w:rPr>
          <w:rFonts w:ascii="Calibri" w:hAnsi="Calibri"/>
          <w:b/>
          <w:color w:val="000000"/>
          <w:sz w:val="30"/>
        </w:rPr>
      </w:pPr>
      <w:r>
        <w:rPr>
          <w:rFonts w:eastAsia="Calibri" w:cs="Calibri"/>
          <w:b/>
          <w:bCs/>
          <w:noProof/>
          <w:color w:val="156082" w:themeColor="accent1"/>
          <w:sz w:val="32"/>
          <w:szCs w:val="32"/>
        </w:rPr>
        <w:drawing>
          <wp:inline distT="0" distB="0" distL="0" distR="0" wp14:anchorId="10930FA6" wp14:editId="74CC14DD">
            <wp:extent cx="2079413" cy="1247648"/>
            <wp:effectExtent l="0" t="0" r="0" b="0"/>
            <wp:docPr id="2021346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346381" name="Picture 202134638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846" cy="1251508"/>
                    </a:xfrm>
                    <a:prstGeom prst="rect">
                      <a:avLst/>
                    </a:prstGeom>
                  </pic:spPr>
                </pic:pic>
              </a:graphicData>
            </a:graphic>
          </wp:inline>
        </w:drawing>
      </w:r>
    </w:p>
    <w:p w14:paraId="5C164E9A" w14:textId="712AAE1B" w:rsidR="006B55E0" w:rsidRPr="00C9177B" w:rsidRDefault="00DC6792" w:rsidP="00C9177B">
      <w:pPr>
        <w:jc w:val="center"/>
        <w:rPr>
          <w:rFonts w:eastAsia="Calibri" w:cs="Calibri"/>
          <w:b/>
          <w:bCs/>
          <w:color w:val="156082" w:themeColor="accent1"/>
          <w:sz w:val="32"/>
          <w:szCs w:val="32"/>
        </w:rPr>
      </w:pPr>
      <w:r w:rsidRPr="00C9177B">
        <w:rPr>
          <w:b/>
          <w:color w:val="156082" w:themeColor="accent1"/>
          <w:sz w:val="32"/>
          <w:szCs w:val="32"/>
        </w:rPr>
        <w:t xml:space="preserve">Énoncé de position de la SCO : </w:t>
      </w:r>
      <w:r w:rsidR="00C9177B" w:rsidRPr="00C9177B">
        <w:rPr>
          <w:b/>
          <w:color w:val="156082" w:themeColor="accent1"/>
          <w:sz w:val="32"/>
          <w:szCs w:val="32"/>
        </w:rPr>
        <w:br/>
      </w:r>
      <w:r w:rsidRPr="00C9177B">
        <w:rPr>
          <w:b/>
          <w:color w:val="156082" w:themeColor="accent1"/>
          <w:sz w:val="32"/>
          <w:szCs w:val="32"/>
        </w:rPr>
        <w:t>Conflits d’intérêts en pratique clinique</w:t>
      </w:r>
    </w:p>
    <w:p w14:paraId="3D6075B4" w14:textId="77777777" w:rsidR="006B55E0" w:rsidRDefault="006B55E0" w:rsidP="006B55E0">
      <w:pPr>
        <w:spacing w:after="0" w:line="240" w:lineRule="auto"/>
        <w:contextualSpacing/>
      </w:pPr>
      <w:r>
        <w:t>La Société canadienne d’ophtalmologie (SCO) s’engage à promouvoir les plus hauts standards en matière de professionnalisme, de soins axés sur les patients, de conduite éthique et de confiance du public à l’égard de l’ophtalmologie.</w:t>
      </w:r>
    </w:p>
    <w:p w14:paraId="38905BB9" w14:textId="77777777" w:rsidR="006B55E0" w:rsidRPr="00A3690E" w:rsidRDefault="006B55E0" w:rsidP="006B55E0">
      <w:pPr>
        <w:spacing w:after="0" w:line="240" w:lineRule="auto"/>
        <w:contextualSpacing/>
      </w:pPr>
    </w:p>
    <w:p w14:paraId="6E5078FC" w14:textId="6A5EDED1" w:rsidR="006B55E0" w:rsidRDefault="006B55E0" w:rsidP="006B55E0">
      <w:pPr>
        <w:spacing w:after="0" w:line="240" w:lineRule="auto"/>
        <w:contextualSpacing/>
      </w:pPr>
      <w:r>
        <w:t xml:space="preserve">Avec l’évolution constante des technologies, produits, services et modèles de soins en ophtalmologie au Canada, les ophtalmologistes sont de plus en plus confrontés à des relations financières, commerciales et opérationnelles complexes avec des fournisseurs, des fabricants, des distributeurs, des centres de chirurgie, des autorités sanitaires et autres parties prenantes du domaine des soins de santé.  </w:t>
      </w:r>
    </w:p>
    <w:p w14:paraId="44BE7B72" w14:textId="77777777" w:rsidR="001537EF" w:rsidRDefault="001537EF" w:rsidP="006B55E0">
      <w:pPr>
        <w:spacing w:after="0" w:line="240" w:lineRule="auto"/>
        <w:contextualSpacing/>
      </w:pPr>
    </w:p>
    <w:p w14:paraId="19CF380E" w14:textId="0580F741" w:rsidR="001537EF" w:rsidRDefault="001537EF" w:rsidP="001537EF">
      <w:pPr>
        <w:spacing w:after="0" w:line="240" w:lineRule="auto"/>
        <w:contextualSpacing/>
      </w:pPr>
      <w:r>
        <w:t>Le présent document présente les considérations professionnelles et éthiques en lien avec</w:t>
      </w:r>
      <w:r w:rsidR="007F34D9">
        <w:t xml:space="preserve"> </w:t>
      </w:r>
      <w:r>
        <w:t>les lentilles intraoculaires (LIO), particulièrement lorsque des options couvertes par les régimes d’assurance-maladie et des options payées par les patients coexistent. Il a pour but d’aider les ophtalmologistes à reconnaître et à gérer les conflits d’intérêts potentiels en pratique clinique. Bien qu’ils soient axés sur les LIO, les principes sous-jacents demeurent pertinents dans d’autres contextes cliniques où interviennent des intérêts financiers ou commerciaux.</w:t>
      </w:r>
    </w:p>
    <w:p w14:paraId="6CAAE86E" w14:textId="77777777" w:rsidR="0075065E" w:rsidRDefault="0075065E" w:rsidP="001537EF">
      <w:pPr>
        <w:spacing w:after="0" w:line="240" w:lineRule="auto"/>
        <w:contextualSpacing/>
      </w:pPr>
    </w:p>
    <w:p w14:paraId="099FAA76" w14:textId="3025BBEC" w:rsidR="00C1125A" w:rsidRDefault="00C1125A" w:rsidP="001537EF">
      <w:pPr>
        <w:spacing w:after="0" w:line="240" w:lineRule="auto"/>
        <w:contextualSpacing/>
      </w:pPr>
      <w:r>
        <w:t xml:space="preserve">À titre de société nationale de spécialité pour l’ophtalmologie au Canada, la SCO contribue à fournir des conseils en matière de professionnalisme et d’éthique dans les provinces et territoires et les milieux de pratique, sans se substituer aux normes et </w:t>
      </w:r>
      <w:r w:rsidR="00BC453B">
        <w:t>à</w:t>
      </w:r>
      <w:r>
        <w:t xml:space="preserve"> l’autorité des organismes de réglementation provinciaux et territoriaux.</w:t>
      </w:r>
    </w:p>
    <w:p w14:paraId="3C867502" w14:textId="77777777" w:rsidR="006B55E0" w:rsidRDefault="006B55E0" w:rsidP="006B55E0">
      <w:pPr>
        <w:spacing w:after="0" w:line="240" w:lineRule="auto"/>
        <w:contextualSpacing/>
      </w:pPr>
    </w:p>
    <w:p w14:paraId="2737B6A9" w14:textId="0F2CFA40" w:rsidR="001537EF" w:rsidRPr="00C9177B" w:rsidRDefault="001537EF" w:rsidP="006B55E0">
      <w:pPr>
        <w:spacing w:after="0" w:line="240" w:lineRule="auto"/>
        <w:contextualSpacing/>
        <w:rPr>
          <w:b/>
          <w:bCs/>
          <w:color w:val="156082" w:themeColor="accent1"/>
          <w:sz w:val="28"/>
          <w:szCs w:val="28"/>
        </w:rPr>
      </w:pPr>
      <w:r w:rsidRPr="00C9177B">
        <w:rPr>
          <w:b/>
          <w:color w:val="156082" w:themeColor="accent1"/>
          <w:sz w:val="28"/>
          <w:szCs w:val="28"/>
        </w:rPr>
        <w:t>Contexte</w:t>
      </w:r>
    </w:p>
    <w:p w14:paraId="676D4E3D" w14:textId="77777777" w:rsidR="001537EF" w:rsidRDefault="001537EF" w:rsidP="006B55E0">
      <w:pPr>
        <w:spacing w:after="0" w:line="240" w:lineRule="auto"/>
        <w:contextualSpacing/>
      </w:pPr>
    </w:p>
    <w:p w14:paraId="77BF7480" w14:textId="6F68EC22" w:rsidR="006B55E0" w:rsidRDefault="006B55E0" w:rsidP="006B55E0">
      <w:pPr>
        <w:spacing w:after="0" w:line="240" w:lineRule="auto"/>
        <w:contextualSpacing/>
      </w:pPr>
      <w:r>
        <w:t>La chirurgie de la cataracte fait partie des interventions chirurgicales les plus couramment réalisées au Canada. Les régimes d’assurance-maladie provinciaux et territoriaux couvrent les chirurgies de la cataracte nécessaires sur le plan médical ainsi que les lentilles intraoculaires standards, tandis que diverses technologies de lentilles supplémentaires et des services connexes peuvent être offerts aux patients à leurs frais.</w:t>
      </w:r>
    </w:p>
    <w:p w14:paraId="4AA4A8C5" w14:textId="77777777" w:rsidR="00364716" w:rsidRDefault="00364716" w:rsidP="006B55E0">
      <w:pPr>
        <w:spacing w:after="0" w:line="240" w:lineRule="auto"/>
        <w:contextualSpacing/>
      </w:pPr>
    </w:p>
    <w:p w14:paraId="6BBD7863" w14:textId="77777777" w:rsidR="009B7BC1" w:rsidRDefault="006B55E0" w:rsidP="009B7BC1">
      <w:pPr>
        <w:spacing w:after="0" w:line="240" w:lineRule="auto"/>
        <w:contextualSpacing/>
      </w:pPr>
      <w:r>
        <w:lastRenderedPageBreak/>
        <w:t xml:space="preserve">Les décisions cliniques doivent toujours être guidées par un jugement médical éclairé, l’intérêt supérieur des patients et l’indépendance professionnelle de l’ophtalmologiste. Le cadre juridique et réglementaire régissant l’approvisionnement en lentilles intraoculaires et autres instruments varie grandement au Canada. Les membres demeurent tenus de comprendre et de respecter les exigences de la province ou du territoire où ils exercent. </w:t>
      </w:r>
    </w:p>
    <w:p w14:paraId="67627AE4" w14:textId="77777777" w:rsidR="009B7BC1" w:rsidRDefault="009B7BC1" w:rsidP="009B7BC1">
      <w:pPr>
        <w:spacing w:after="0" w:line="240" w:lineRule="auto"/>
        <w:contextualSpacing/>
      </w:pPr>
    </w:p>
    <w:p w14:paraId="3EB3D1DC" w14:textId="009175D7" w:rsidR="009B7BC1" w:rsidRPr="009B7BC1" w:rsidRDefault="009B7BC1" w:rsidP="009B7BC1">
      <w:pPr>
        <w:spacing w:after="0" w:line="240" w:lineRule="auto"/>
        <w:contextualSpacing/>
      </w:pPr>
      <w:r>
        <w:t>La possibilité de proposer aux patients des options de LIO à leurs frais, de les leur fournir ou d’en tirer un avantage financier dépend des exigences provinciales ou territoriales applicables et des circonstances propres à l’entente.</w:t>
      </w:r>
    </w:p>
    <w:p w14:paraId="151BA02D" w14:textId="1386BF97" w:rsidR="006B55E0" w:rsidRDefault="006B55E0" w:rsidP="006B55E0">
      <w:pPr>
        <w:spacing w:after="0" w:line="240" w:lineRule="auto"/>
        <w:contextualSpacing/>
      </w:pPr>
    </w:p>
    <w:p w14:paraId="7BED2972" w14:textId="77777777" w:rsidR="006B55E0" w:rsidRDefault="006B55E0" w:rsidP="006B55E0">
      <w:pPr>
        <w:spacing w:after="0" w:line="240" w:lineRule="auto"/>
        <w:contextualSpacing/>
      </w:pPr>
    </w:p>
    <w:p w14:paraId="65AD881C" w14:textId="7D794EE0" w:rsidR="006B55E0" w:rsidRDefault="006B55E0" w:rsidP="006B55E0">
      <w:pPr>
        <w:spacing w:after="0" w:line="240" w:lineRule="auto"/>
        <w:contextualSpacing/>
      </w:pPr>
      <w:r>
        <w:t xml:space="preserve">Le présent énoncé propose un aperçu des directives réglementaires provinciales et territoriales pertinentes concernant les conflits d’intérêts, les produits et services non assurés et les interactions avec l’industrie.  </w:t>
      </w:r>
    </w:p>
    <w:p w14:paraId="5FDC9B43" w14:textId="77777777" w:rsidR="006B55E0" w:rsidRDefault="006B55E0" w:rsidP="006B55E0">
      <w:pPr>
        <w:spacing w:after="0" w:line="240" w:lineRule="auto"/>
        <w:contextualSpacing/>
      </w:pPr>
    </w:p>
    <w:p w14:paraId="13477484" w14:textId="335C547D" w:rsidR="00FD2D3B" w:rsidRPr="00C9177B" w:rsidRDefault="00FD2D3B" w:rsidP="00FD2D3B">
      <w:pPr>
        <w:spacing w:after="0" w:line="240" w:lineRule="auto"/>
        <w:contextualSpacing/>
        <w:rPr>
          <w:b/>
          <w:bCs/>
          <w:color w:val="156082" w:themeColor="accent1"/>
          <w:sz w:val="28"/>
          <w:szCs w:val="28"/>
        </w:rPr>
      </w:pPr>
      <w:r w:rsidRPr="00C9177B">
        <w:rPr>
          <w:b/>
          <w:color w:val="156082" w:themeColor="accent1"/>
          <w:sz w:val="28"/>
          <w:szCs w:val="28"/>
        </w:rPr>
        <w:t xml:space="preserve">Principes professionnels et éthiques </w:t>
      </w:r>
    </w:p>
    <w:p w14:paraId="7B81885F" w14:textId="77777777" w:rsidR="00FD2D3B" w:rsidRDefault="00FD2D3B" w:rsidP="00FD2D3B">
      <w:pPr>
        <w:spacing w:after="0" w:line="240" w:lineRule="auto"/>
        <w:contextualSpacing/>
      </w:pPr>
    </w:p>
    <w:p w14:paraId="374DA786" w14:textId="1F2F7AAA" w:rsidR="00FD2D3B" w:rsidRPr="00FD2D3B" w:rsidRDefault="00FD2D3B" w:rsidP="00FD2D3B">
      <w:pPr>
        <w:spacing w:after="0" w:line="240" w:lineRule="auto"/>
        <w:contextualSpacing/>
        <w:rPr>
          <w:b/>
          <w:bCs/>
          <w:i/>
          <w:iCs/>
        </w:rPr>
      </w:pPr>
      <w:r>
        <w:rPr>
          <w:b/>
          <w:i/>
        </w:rPr>
        <w:t>Primauté du bien-être des patients</w:t>
      </w:r>
    </w:p>
    <w:p w14:paraId="392082AB" w14:textId="77777777" w:rsidR="00FD2D3B" w:rsidRDefault="00FD2D3B" w:rsidP="00FD2D3B">
      <w:pPr>
        <w:spacing w:after="0" w:line="240" w:lineRule="auto"/>
        <w:contextualSpacing/>
      </w:pPr>
      <w:r>
        <w:t>La principale obligation professionnelle de l’ophtalmologiste est envers le patient. En effet, les recommandations concernant les lentilles intraoculaires doivent être fondées sur la pertinence clinique, sur les meilleures données probantes existantes, sur la situation oculaire du patient, sur ses besoins et objectifs sur le plan visuel ainsi que sur ses préférences éclairées. Lorsque des intérêts personnels, financiers, commerciaux, organisationnels ou autres intérêts secondaires interfèrent avec les soins aux patients, le bien-être des patients doit primer.</w:t>
      </w:r>
    </w:p>
    <w:p w14:paraId="10C335A6" w14:textId="77777777" w:rsidR="00FD2D3B" w:rsidRDefault="00FD2D3B" w:rsidP="00FD2D3B">
      <w:pPr>
        <w:spacing w:after="0" w:line="240" w:lineRule="auto"/>
        <w:contextualSpacing/>
      </w:pPr>
    </w:p>
    <w:p w14:paraId="2F419C6F" w14:textId="77777777" w:rsidR="00FD2D3B" w:rsidRPr="00FD2D3B" w:rsidRDefault="00FD2D3B" w:rsidP="00FD2D3B">
      <w:pPr>
        <w:spacing w:after="0" w:line="240" w:lineRule="auto"/>
        <w:contextualSpacing/>
        <w:rPr>
          <w:b/>
          <w:bCs/>
          <w:i/>
          <w:iCs/>
        </w:rPr>
      </w:pPr>
      <w:r>
        <w:rPr>
          <w:b/>
          <w:i/>
        </w:rPr>
        <w:t>Jugement clinique indépendant</w:t>
      </w:r>
    </w:p>
    <w:p w14:paraId="031B1EA7" w14:textId="77777777" w:rsidR="00FD2D3B" w:rsidRDefault="00FD2D3B" w:rsidP="00FD2D3B">
      <w:pPr>
        <w:spacing w:after="0" w:line="240" w:lineRule="auto"/>
        <w:contextualSpacing/>
      </w:pPr>
      <w:r>
        <w:t>L’indépendance professionnelle est essentielle à la relation médecin-patient. Les recommandations concernant les lentilles intraoculaires et les technologies ou services connexes doivent se fonder sur des considérations pertinentes sur le plan clinique et sur la situation propre au patient. Les incitatifs financiers, les relations commerciales, les ententes d’achat, les engagements contractuels et les pressions organisationnelles ne doivent pas déterminer les options appropriées sur le plan clinique qui sont présentées ou recommandées au patient.</w:t>
      </w:r>
    </w:p>
    <w:p w14:paraId="5E77B719" w14:textId="77777777" w:rsidR="00AB2FD3" w:rsidRDefault="00AB2FD3" w:rsidP="00FD2D3B">
      <w:pPr>
        <w:spacing w:after="0" w:line="240" w:lineRule="auto"/>
        <w:contextualSpacing/>
      </w:pPr>
    </w:p>
    <w:p w14:paraId="4F9F3A88" w14:textId="32A7077B" w:rsidR="00AB2FD3" w:rsidRDefault="00183848" w:rsidP="00FD2D3B">
      <w:pPr>
        <w:spacing w:after="0" w:line="240" w:lineRule="auto"/>
        <w:contextualSpacing/>
      </w:pPr>
      <w:r>
        <w:t>Les ophtalmologistes qui assument des responsabilités de direction, de gouvernance ou de gestion doi</w:t>
      </w:r>
      <w:r w:rsidR="00BC453B">
        <w:t>ven</w:t>
      </w:r>
      <w:r>
        <w:t>t également évaluer si les politiques, incitatifs ou attentes de l’organisation sont susceptibles de compromettre le jugement clinique indépendant ou la capacité du patient à faire un choix véritablement éclairé et prendre les mesures appropriées dans la portée de leurs rôles pour éliminer les préoccupations définies.</w:t>
      </w:r>
    </w:p>
    <w:p w14:paraId="5D64F5B3" w14:textId="77777777" w:rsidR="00FD2D3B" w:rsidRDefault="00FD2D3B" w:rsidP="00FD2D3B">
      <w:pPr>
        <w:spacing w:after="0" w:line="240" w:lineRule="auto"/>
        <w:contextualSpacing/>
      </w:pPr>
    </w:p>
    <w:p w14:paraId="4273955B" w14:textId="77777777" w:rsidR="00FD2D3B" w:rsidRPr="00FD2D3B" w:rsidRDefault="00FD2D3B" w:rsidP="00FD2D3B">
      <w:pPr>
        <w:spacing w:after="0" w:line="240" w:lineRule="auto"/>
        <w:contextualSpacing/>
        <w:rPr>
          <w:b/>
          <w:bCs/>
          <w:i/>
          <w:iCs/>
        </w:rPr>
      </w:pPr>
      <w:r>
        <w:rPr>
          <w:b/>
          <w:i/>
        </w:rPr>
        <w:t>Choix véritablement éclairé du patient</w:t>
      </w:r>
    </w:p>
    <w:p w14:paraId="70610689" w14:textId="77777777" w:rsidR="009B7BC1" w:rsidRDefault="00FD2D3B" w:rsidP="009B7BC1">
      <w:pPr>
        <w:spacing w:after="0" w:line="240" w:lineRule="auto"/>
        <w:contextualSpacing/>
      </w:pPr>
      <w:r>
        <w:t xml:space="preserve">La discussion sur les options de lentilles intraoculaires relève avant tout du consentement éclairé, et non d’une démarche de vente. Les patients doivent recevoir des renseignements </w:t>
      </w:r>
      <w:r>
        <w:lastRenderedPageBreak/>
        <w:t xml:space="preserve">équilibrés, exacts et compréhensibles sur les options appropriées sur le plan clinique, notamment sur leurs avantages, leurs risques et leurs limites potentiels, ainsi que sur des solutions de rechange raisonnables et les coûts associés. L’option couverte par le régime public doit demeurer un choix réel et ne doit pas être présentée d’une manière qui suggère un standard inférieur de soins chirurgicaux. </w:t>
      </w:r>
    </w:p>
    <w:p w14:paraId="20A1209A" w14:textId="77777777" w:rsidR="00164E47" w:rsidRDefault="00164E47" w:rsidP="009B7BC1">
      <w:pPr>
        <w:spacing w:after="0" w:line="240" w:lineRule="auto"/>
        <w:contextualSpacing/>
      </w:pPr>
    </w:p>
    <w:p w14:paraId="67358FBD" w14:textId="3EAD8CBE" w:rsidR="00FD2D3B" w:rsidRDefault="00FD2D3B" w:rsidP="00FD2D3B">
      <w:pPr>
        <w:spacing w:after="0" w:line="240" w:lineRule="auto"/>
        <w:contextualSpacing/>
      </w:pPr>
      <w:r>
        <w:t>Lorsque des options non assurées sont abordées, les patients doivent posséder suffisamment d’information et doivent avoir la possibilité de prendre une décision volontaire sans contrainte, pression ou influence indue. Lorsque le personnel ou d’autres membres de l’équipe des soins de santé participent à l’éducation des patients concernant les options de LIO, l’ophtalmologiste demeure tenu de veiller à ce que les renseignements pertinents à un consentement éclairé soient exacts et équilibrés, et conformes aux exigences professionnelles et réglementaires applicables.</w:t>
      </w:r>
    </w:p>
    <w:p w14:paraId="04E8C7F4" w14:textId="77777777" w:rsidR="00FD2D3B" w:rsidRDefault="00FD2D3B" w:rsidP="00FD2D3B">
      <w:pPr>
        <w:spacing w:after="0" w:line="240" w:lineRule="auto"/>
        <w:contextualSpacing/>
      </w:pPr>
    </w:p>
    <w:p w14:paraId="0CD821AD" w14:textId="77777777" w:rsidR="00FD2D3B" w:rsidRPr="00FD2D3B" w:rsidRDefault="00FD2D3B" w:rsidP="00FD2D3B">
      <w:pPr>
        <w:spacing w:after="0" w:line="240" w:lineRule="auto"/>
        <w:contextualSpacing/>
        <w:rPr>
          <w:b/>
          <w:bCs/>
          <w:i/>
          <w:iCs/>
        </w:rPr>
      </w:pPr>
      <w:r>
        <w:rPr>
          <w:b/>
          <w:i/>
        </w:rPr>
        <w:t>Reconnaissance et gestion des conflits d’intérêts</w:t>
      </w:r>
    </w:p>
    <w:p w14:paraId="0AE1B882" w14:textId="315ECB8F" w:rsidR="00235A2B" w:rsidRDefault="00FD2D3B" w:rsidP="00DC0C2B">
      <w:pPr>
        <w:spacing w:after="0" w:line="240" w:lineRule="auto"/>
        <w:contextualSpacing/>
      </w:pPr>
      <w:r>
        <w:t xml:space="preserve">Les conflits d’intérêts peuvent être réels, potentiels ou perçus, et n’indiquent pas nécessairement une conduite fautive. Les ophtalmologistes doivent chercher à éviter les conflits lorsque cela est raisonnablement possible et reconnaître et gérer adéquatement ceux qui ne peuvent être évités, conformément aux exigences professionnelles, réglementaires, institutionnelles et juridiques applicables. La divulgation constitue un aspect important de la transparence, mais elle ne peut à elle seule résoudre un conflit d’intérêts ni dégager l’ophtalmologiste de sa responsabilité de maintenir un </w:t>
      </w:r>
      <w:r w:rsidR="00BE23E1">
        <w:t>jugement</w:t>
      </w:r>
      <w:r>
        <w:t xml:space="preserve"> clinique indépendant.</w:t>
      </w:r>
    </w:p>
    <w:p w14:paraId="79F7EC7E" w14:textId="77777777" w:rsidR="00FD2D3B" w:rsidRDefault="00FD2D3B" w:rsidP="00FD2D3B">
      <w:pPr>
        <w:spacing w:after="0" w:line="240" w:lineRule="auto"/>
        <w:contextualSpacing/>
      </w:pPr>
    </w:p>
    <w:p w14:paraId="7940C733" w14:textId="77777777" w:rsidR="00FD2D3B" w:rsidRPr="00FD2D3B" w:rsidRDefault="00FD2D3B" w:rsidP="00FD2D3B">
      <w:pPr>
        <w:spacing w:after="0" w:line="240" w:lineRule="auto"/>
        <w:contextualSpacing/>
        <w:rPr>
          <w:b/>
          <w:bCs/>
          <w:i/>
          <w:iCs/>
        </w:rPr>
      </w:pPr>
      <w:r>
        <w:rPr>
          <w:b/>
          <w:i/>
        </w:rPr>
        <w:t>Transparence et confiance du public</w:t>
      </w:r>
    </w:p>
    <w:p w14:paraId="47407A37" w14:textId="77777777" w:rsidR="00B12654" w:rsidRDefault="00FD2D3B" w:rsidP="00FD2D3B">
      <w:pPr>
        <w:spacing w:after="0" w:line="240" w:lineRule="auto"/>
        <w:contextualSpacing/>
      </w:pPr>
      <w:r>
        <w:t xml:space="preserve">Les patients doivent être en mesure de comprendre ce qui leur est recommandé, les raisons justifiant cette recommandation, les autres options raisonnables qui s’offrent à eux et les coûts qu’ils pourraient devoir assumer. Les liens ou intérêts pouvant être raisonnablement considérés comme pertinents pour la compréhension par le patient d’une recommandation clinique doivent être divulgués conformément aux exigences professionnelles et réglementaires applicables, comme indiqué précédemment. </w:t>
      </w:r>
    </w:p>
    <w:p w14:paraId="2669FE05" w14:textId="77777777" w:rsidR="00B12654" w:rsidRDefault="00B12654" w:rsidP="00FD2D3B">
      <w:pPr>
        <w:spacing w:after="0" w:line="240" w:lineRule="auto"/>
        <w:contextualSpacing/>
      </w:pPr>
    </w:p>
    <w:p w14:paraId="4526EEFB" w14:textId="0F9D73A3" w:rsidR="00FD2D3B" w:rsidRDefault="00FD2D3B" w:rsidP="00FD2D3B">
      <w:pPr>
        <w:spacing w:after="0" w:line="240" w:lineRule="auto"/>
        <w:contextualSpacing/>
      </w:pPr>
      <w:r>
        <w:t>Au moment d’évaluer une entente financière, commerciale ou organisationnelle, les ophtalmologistes doivent se demander non seulement si celle-ci est autorisée dans leur province ou territoire, mais aussi si elle pourrait raisonnablement amener un patient à remettre en question l’indépendance de la recommandation clinique.</w:t>
      </w:r>
    </w:p>
    <w:p w14:paraId="603A2D51" w14:textId="77777777" w:rsidR="00C6437E" w:rsidRDefault="00C6437E" w:rsidP="00FD2D3B">
      <w:pPr>
        <w:spacing w:after="0" w:line="240" w:lineRule="auto"/>
        <w:contextualSpacing/>
      </w:pPr>
    </w:p>
    <w:p w14:paraId="7ECF3047" w14:textId="3DAE18F5" w:rsidR="0075065E" w:rsidRPr="0075065E" w:rsidRDefault="00C6437E" w:rsidP="0075065E">
      <w:pPr>
        <w:spacing w:after="0" w:line="240" w:lineRule="auto"/>
        <w:contextualSpacing/>
      </w:pPr>
      <w:r>
        <w:t xml:space="preserve">Lorsqu’une divulgation est justifiée, elle doit être précise, opportune et formulée dans </w:t>
      </w:r>
      <w:r w:rsidR="007F34D9">
        <w:t>des termes compréhensibles</w:t>
      </w:r>
      <w:r>
        <w:t>, et elle doit se faire avant que le patient prenne la décision de traitement concernée. Le cas échéant, la divulgation et toute mesure prise pour gérer le conflit d’intérêts doivent également être consigné</w:t>
      </w:r>
      <w:r w:rsidR="00884A43">
        <w:t>e</w:t>
      </w:r>
      <w:r>
        <w:t>s conformément aux exigences applicables.</w:t>
      </w:r>
    </w:p>
    <w:p w14:paraId="10C197E8" w14:textId="77777777" w:rsidR="00B201C0" w:rsidRDefault="00B201C0" w:rsidP="00FD2D3B">
      <w:pPr>
        <w:spacing w:after="0" w:line="240" w:lineRule="auto"/>
        <w:contextualSpacing/>
      </w:pPr>
    </w:p>
    <w:p w14:paraId="0EA1B925" w14:textId="77777777" w:rsidR="00FD2D3B" w:rsidRDefault="00FD2D3B" w:rsidP="00FD2D3B">
      <w:pPr>
        <w:spacing w:after="0" w:line="240" w:lineRule="auto"/>
        <w:contextualSpacing/>
      </w:pPr>
    </w:p>
    <w:p w14:paraId="01AAEBFA" w14:textId="77777777" w:rsidR="00FD2D3B" w:rsidRPr="00FD2D3B" w:rsidRDefault="00FD2D3B" w:rsidP="00FD2D3B">
      <w:pPr>
        <w:spacing w:after="0" w:line="240" w:lineRule="auto"/>
        <w:contextualSpacing/>
        <w:rPr>
          <w:b/>
          <w:bCs/>
          <w:i/>
          <w:iCs/>
        </w:rPr>
      </w:pPr>
      <w:r>
        <w:rPr>
          <w:b/>
          <w:i/>
        </w:rPr>
        <w:lastRenderedPageBreak/>
        <w:t>Relations appropriées avec l’industrie</w:t>
      </w:r>
    </w:p>
    <w:p w14:paraId="0B8B40FF" w14:textId="1FC02B2C" w:rsidR="00FD2D3B" w:rsidRDefault="00FD2D3B" w:rsidP="00FD2D3B">
      <w:pPr>
        <w:spacing w:after="0" w:line="240" w:lineRule="auto"/>
        <w:contextualSpacing/>
      </w:pPr>
      <w:r>
        <w:t>La SCO est consciente qu’une collaboration appropriée entre les ophtalmologistes et l’industrie contribue de façon importante à l’innovation, à la recherche, à l’éducation ainsi qu’à l’élaboration et à l’évaluation de nouvelle</w:t>
      </w:r>
      <w:r w:rsidR="007F34D9">
        <w:t>s</w:t>
      </w:r>
      <w:r>
        <w:t xml:space="preserve"> technologies. Les activités de consultation, les efforts consultatifs, la participation à des travaux de recherche, la formation et l’évaluation d’instruments sont des activités professionnelles légitimes lorsqu’elles ont un but professionnel véritable et qu’elles sont réalisées conformément aux exigences professionnelles, réglementaires, institutionnelles et juridiques applicables. De telles relations doivent préserver le jugement clinique indépendant de l’ophtalmologiste et faire primer les intérêts du patient.</w:t>
      </w:r>
    </w:p>
    <w:p w14:paraId="4B24D77E" w14:textId="77777777" w:rsidR="00AC6D00" w:rsidRDefault="00AC6D00" w:rsidP="00FD2D3B">
      <w:pPr>
        <w:spacing w:after="0" w:line="240" w:lineRule="auto"/>
        <w:contextualSpacing/>
      </w:pPr>
    </w:p>
    <w:p w14:paraId="3E6C7FB7" w14:textId="77777777" w:rsidR="00AC6D00" w:rsidRPr="00164E47" w:rsidRDefault="00AC6D00" w:rsidP="00AC6D00">
      <w:pPr>
        <w:spacing w:after="0" w:line="240" w:lineRule="auto"/>
        <w:contextualSpacing/>
        <w:rPr>
          <w:b/>
          <w:bCs/>
          <w:i/>
          <w:iCs/>
        </w:rPr>
      </w:pPr>
      <w:r>
        <w:rPr>
          <w:b/>
          <w:i/>
        </w:rPr>
        <w:t>Principes éthiques fondamentaux</w:t>
      </w:r>
    </w:p>
    <w:p w14:paraId="3AEA4CB8" w14:textId="77777777" w:rsidR="00164E47" w:rsidRDefault="00AC6D00" w:rsidP="00914D6B">
      <w:pPr>
        <w:spacing w:after="0" w:line="240" w:lineRule="auto"/>
        <w:contextualSpacing/>
      </w:pPr>
      <w:r>
        <w:t xml:space="preserve">En tout temps, les ophtalmologistes ont la responsabilité professionnelle de veiller à ce que les décisions cliniques soient guidées par l’intérêt supérieur des patients plutôt que par des considérations personnelles, financières ou commerciales. Les patients doivent avoir accès à une option appropriée sur le plan clinique couverte par le régime public, et la décision de ne pas acheter de produits ou services non assurés ne doit pas compromettre la qualité ou l’accessibilité de leurs soins. Les recommandations doivent être représentatives de la situation clinique de la personne, des préférences éclairées du patient et du jugement professionnel indépendant. Les ententes financières avec des fabricants, des fournisseurs ou d’autres entités commerciales, notamment les remises, les rabais ou les incitatifs liés aux volumes d’achat ou au choix des produits, ne doivent pas influencer les recommandations cliniques ni compromettre la capacité du patient à faire un choix véritablement éclairé. </w:t>
      </w:r>
    </w:p>
    <w:p w14:paraId="01BE607E" w14:textId="77777777" w:rsidR="00164E47" w:rsidRDefault="00164E47" w:rsidP="00914D6B">
      <w:pPr>
        <w:spacing w:after="0" w:line="240" w:lineRule="auto"/>
        <w:contextualSpacing/>
      </w:pPr>
    </w:p>
    <w:p w14:paraId="7367CB5A" w14:textId="65EA87D3" w:rsidR="007D21BD" w:rsidRDefault="00AC6D00" w:rsidP="00914D6B">
      <w:pPr>
        <w:spacing w:after="0" w:line="240" w:lineRule="auto"/>
        <w:contextualSpacing/>
      </w:pPr>
      <w:r>
        <w:t>Les frais exigés pour les services non couverts par le régime d’</w:t>
      </w:r>
      <w:r w:rsidR="00913ADA">
        <w:t>assurance-maladie</w:t>
      </w:r>
      <w:r>
        <w:t xml:space="preserve"> doivent correspondre raisonnablement au travail professionnel, à l’expertise, aux ressources et aux responsabilités supplémentaires en cause, conformément aux exigences réglementaires applicables. La divulgation d’un intérêt financier ne suffit pas, à elle seule, à résoudre un conflit d’intérêts sur le plan éthique. En cas d’incertitude quant au caractère approprié d’une entente, les ophtalmologistes doivent demander conseil auprès de leur organisme de réglementation provincial ou territorial, de leur établissement ou de leur avocat.</w:t>
      </w:r>
    </w:p>
    <w:p w14:paraId="197847A7" w14:textId="77777777" w:rsidR="00164E47" w:rsidRDefault="00164E47" w:rsidP="00914D6B">
      <w:pPr>
        <w:spacing w:after="0" w:line="240" w:lineRule="auto"/>
        <w:contextualSpacing/>
      </w:pPr>
    </w:p>
    <w:p w14:paraId="3C66102F" w14:textId="5BEF7F9F" w:rsidR="007D21BD" w:rsidRPr="00164E47" w:rsidRDefault="007D21BD" w:rsidP="00914D6B">
      <w:pPr>
        <w:spacing w:after="0" w:line="240" w:lineRule="auto"/>
        <w:contextualSpacing/>
        <w:rPr>
          <w:b/>
          <w:bCs/>
          <w:i/>
          <w:iCs/>
        </w:rPr>
      </w:pPr>
      <w:r>
        <w:rPr>
          <w:b/>
          <w:i/>
        </w:rPr>
        <w:t>Directives réglementaires provinciales et territoriales</w:t>
      </w:r>
    </w:p>
    <w:p w14:paraId="2C068736" w14:textId="020D9F8F" w:rsidR="00B511EE" w:rsidRDefault="00B511EE" w:rsidP="00914D6B">
      <w:pPr>
        <w:spacing w:after="0" w:line="240" w:lineRule="auto"/>
        <w:contextualSpacing/>
      </w:pPr>
      <w:r>
        <w:t>La réglementation de l’exercice de la médecine, des conflits d’intérêts, des services non assurés, des relations avec l’industrie et de la vente ou de la fourniture de produits et instruments médicaux varie au Canada. La SCO ne vise pas à interpréter ces exigences propres à chaque province ou territoire ni à s’y substituer. Les ophtalmologistes doivent consulter les normes et politiques actuelles de l’organisme de réglementation de la province ou du territoire où ils exercent.</w:t>
      </w:r>
    </w:p>
    <w:p w14:paraId="5003BA87" w14:textId="77777777" w:rsidR="002F7B20" w:rsidRDefault="002F7B20" w:rsidP="00914D6B">
      <w:pPr>
        <w:spacing w:after="0" w:line="240" w:lineRule="auto"/>
        <w:contextualSpacing/>
      </w:pPr>
    </w:p>
    <w:p w14:paraId="5E171326" w14:textId="269B37E4" w:rsidR="0075065E" w:rsidRPr="0075065E" w:rsidRDefault="00B511EE" w:rsidP="0075065E">
      <w:pPr>
        <w:spacing w:after="0" w:line="240" w:lineRule="auto"/>
        <w:contextualSpacing/>
      </w:pPr>
      <w:r>
        <w:t xml:space="preserve">Les ressources suivantes sont fournies à titre de référence pour aider les membres de la SCO à s’y retrouver parmi les directives réglementaires. Cette liste n’est pas exhaustive et </w:t>
      </w:r>
      <w:r>
        <w:lastRenderedPageBreak/>
        <w:t xml:space="preserve">ne constitue pas une interprétation par la SCO des exigences énoncées dans ces ressources. </w:t>
      </w:r>
    </w:p>
    <w:p w14:paraId="2EF9CC3B" w14:textId="36467C89" w:rsidR="006B55E0" w:rsidRPr="007F34D9" w:rsidRDefault="006B55E0" w:rsidP="00914D6B">
      <w:pPr>
        <w:spacing w:after="0" w:line="240" w:lineRule="auto"/>
        <w:contextualSpacing/>
        <w:rPr>
          <w:b/>
          <w:bCs/>
        </w:rPr>
      </w:pPr>
    </w:p>
    <w:tbl>
      <w:tblPr>
        <w:tblStyle w:val="TableGrid"/>
        <w:tblW w:w="0" w:type="auto"/>
        <w:jc w:val="center"/>
        <w:tblLook w:val="04A0" w:firstRow="1" w:lastRow="0" w:firstColumn="1" w:lastColumn="0" w:noHBand="0" w:noVBand="1"/>
      </w:tblPr>
      <w:tblGrid>
        <w:gridCol w:w="2027"/>
        <w:gridCol w:w="2257"/>
        <w:gridCol w:w="5066"/>
      </w:tblGrid>
      <w:tr w:rsidR="000D4DBB" w14:paraId="07300450" w14:textId="77777777" w:rsidTr="00262C08">
        <w:trPr>
          <w:cantSplit/>
          <w:tblHeader/>
          <w:jc w:val="center"/>
        </w:trPr>
        <w:tc>
          <w:tcPr>
            <w:tcW w:w="3114" w:type="dxa"/>
            <w:shd w:val="clear" w:color="auto" w:fill="D9EAF7"/>
          </w:tcPr>
          <w:p w14:paraId="6347FE36" w14:textId="77777777" w:rsidR="000D4DBB" w:rsidRDefault="000D4DBB" w:rsidP="003E60AD">
            <w:r>
              <w:rPr>
                <w:b/>
              </w:rPr>
              <w:t>Province ou territoire</w:t>
            </w:r>
          </w:p>
        </w:tc>
        <w:tc>
          <w:tcPr>
            <w:tcW w:w="3106" w:type="dxa"/>
            <w:shd w:val="clear" w:color="auto" w:fill="D9EAF7"/>
          </w:tcPr>
          <w:p w14:paraId="5BF04AF0" w14:textId="77777777" w:rsidR="000D4DBB" w:rsidRDefault="000D4DBB" w:rsidP="003E60AD">
            <w:r>
              <w:rPr>
                <w:b/>
              </w:rPr>
              <w:t>Organisme de réglementation</w:t>
            </w:r>
          </w:p>
        </w:tc>
        <w:tc>
          <w:tcPr>
            <w:tcW w:w="3130" w:type="dxa"/>
            <w:shd w:val="clear" w:color="auto" w:fill="D9EAF7"/>
          </w:tcPr>
          <w:p w14:paraId="2C77B38D" w14:textId="77777777" w:rsidR="000D4DBB" w:rsidRDefault="000D4DBB" w:rsidP="003E60AD">
            <w:r>
              <w:rPr>
                <w:b/>
              </w:rPr>
              <w:t>Directive pertinente</w:t>
            </w:r>
          </w:p>
        </w:tc>
      </w:tr>
      <w:tr w:rsidR="000D4DBB" w14:paraId="6033AAD4" w14:textId="77777777" w:rsidTr="00262C08">
        <w:trPr>
          <w:cantSplit/>
          <w:jc w:val="center"/>
        </w:trPr>
        <w:tc>
          <w:tcPr>
            <w:tcW w:w="3114" w:type="dxa"/>
            <w:tcMar>
              <w:top w:w="80" w:type="dxa"/>
              <w:left w:w="80" w:type="dxa"/>
              <w:bottom w:w="80" w:type="dxa"/>
              <w:right w:w="80" w:type="dxa"/>
            </w:tcMar>
          </w:tcPr>
          <w:p w14:paraId="58222D9A" w14:textId="77777777" w:rsidR="000D4DBB" w:rsidRDefault="000D4DBB" w:rsidP="003E60AD">
            <w:pPr>
              <w:spacing w:after="40"/>
            </w:pPr>
            <w:r>
              <w:rPr>
                <w:sz w:val="17"/>
              </w:rPr>
              <w:t>Colombie-Britannique</w:t>
            </w:r>
          </w:p>
        </w:tc>
        <w:tc>
          <w:tcPr>
            <w:tcW w:w="3106" w:type="dxa"/>
            <w:tcMar>
              <w:top w:w="80" w:type="dxa"/>
              <w:left w:w="80" w:type="dxa"/>
              <w:bottom w:w="80" w:type="dxa"/>
              <w:right w:w="80" w:type="dxa"/>
            </w:tcMar>
          </w:tcPr>
          <w:p w14:paraId="323C6428" w14:textId="77777777" w:rsidR="000D4DBB" w:rsidRDefault="000D4DBB" w:rsidP="003E60AD">
            <w:pPr>
              <w:spacing w:after="40"/>
            </w:pPr>
            <w:r>
              <w:rPr>
                <w:sz w:val="17"/>
              </w:rPr>
              <w:t>Collège des médecins et chirurgiens de la Colombie-Britannique</w:t>
            </w:r>
          </w:p>
        </w:tc>
        <w:tc>
          <w:tcPr>
            <w:tcW w:w="3130" w:type="dxa"/>
            <w:tcMar>
              <w:top w:w="80" w:type="dxa"/>
              <w:left w:w="80" w:type="dxa"/>
              <w:bottom w:w="80" w:type="dxa"/>
              <w:right w:w="80" w:type="dxa"/>
            </w:tcMar>
          </w:tcPr>
          <w:p w14:paraId="23E76E9C" w14:textId="77777777" w:rsidR="006C167B" w:rsidRDefault="000D4DBB" w:rsidP="003E60AD">
            <w:pPr>
              <w:spacing w:after="40"/>
              <w:rPr>
                <w:sz w:val="17"/>
              </w:rPr>
            </w:pPr>
            <w:hyperlink r:id="rId10">
              <w:r>
                <w:rPr>
                  <w:color w:val="0563C1"/>
                  <w:u w:val="single"/>
                </w:rPr>
                <w:t>Conflit d’intérêts (en anglais seulement)</w:t>
              </w:r>
            </w:hyperlink>
            <w:r>
              <w:rPr>
                <w:sz w:val="17"/>
              </w:rPr>
              <w:t xml:space="preserve">; </w:t>
            </w:r>
          </w:p>
          <w:p w14:paraId="60202F70" w14:textId="77777777" w:rsidR="00BC20E5" w:rsidRDefault="00BC20E5" w:rsidP="003E60AD">
            <w:pPr>
              <w:spacing w:after="40"/>
              <w:rPr>
                <w:sz w:val="17"/>
              </w:rPr>
            </w:pPr>
          </w:p>
          <w:p w14:paraId="72D7510A" w14:textId="77777777" w:rsidR="006C167B" w:rsidRDefault="000D4DBB" w:rsidP="003E60AD">
            <w:pPr>
              <w:spacing w:after="40"/>
              <w:rPr>
                <w:sz w:val="17"/>
              </w:rPr>
            </w:pPr>
            <w:hyperlink r:id="rId11">
              <w:r>
                <w:rPr>
                  <w:color w:val="0563C1"/>
                  <w:u w:val="single"/>
                </w:rPr>
                <w:t>Promotion et vente de fournitures et d’instruments médicaux (en anglais seulement)</w:t>
              </w:r>
            </w:hyperlink>
            <w:r>
              <w:rPr>
                <w:sz w:val="17"/>
              </w:rPr>
              <w:t xml:space="preserve">; </w:t>
            </w:r>
          </w:p>
          <w:p w14:paraId="2C5DFA60" w14:textId="77777777" w:rsidR="00BC20E5" w:rsidRDefault="00BC20E5" w:rsidP="003E60AD">
            <w:pPr>
              <w:spacing w:after="40"/>
              <w:rPr>
                <w:sz w:val="17"/>
              </w:rPr>
            </w:pPr>
          </w:p>
          <w:p w14:paraId="6ABB0AF2" w14:textId="008B15FE" w:rsidR="000D4DBB" w:rsidRDefault="000D4DBB" w:rsidP="003E60AD">
            <w:pPr>
              <w:spacing w:after="40"/>
            </w:pPr>
            <w:hyperlink r:id="rId12">
              <w:r>
                <w:rPr>
                  <w:color w:val="0563C1"/>
                  <w:u w:val="single"/>
                </w:rPr>
                <w:t>Normes et lignes directrices du CMCCB (en anglais seulement)</w:t>
              </w:r>
            </w:hyperlink>
          </w:p>
          <w:p w14:paraId="38879FBC" w14:textId="77777777" w:rsidR="00BC20E5" w:rsidRDefault="00BC20E5" w:rsidP="003E60AD">
            <w:pPr>
              <w:spacing w:after="40"/>
            </w:pPr>
          </w:p>
          <w:p w14:paraId="74E7FCB1" w14:textId="77777777" w:rsidR="005B3456" w:rsidRDefault="005B3456" w:rsidP="005B3456">
            <w:hyperlink r:id="rId13" w:history="1">
              <w:r>
                <w:rPr>
                  <w:rStyle w:val="Hyperlink"/>
                </w:rPr>
                <w:t>Norme sur la facturation des services non assurés (en anglais seulement)</w:t>
              </w:r>
            </w:hyperlink>
          </w:p>
          <w:p w14:paraId="51DB2BFF" w14:textId="77777777" w:rsidR="006C167B" w:rsidRDefault="006C167B" w:rsidP="003E60AD">
            <w:pPr>
              <w:spacing w:after="40"/>
            </w:pPr>
          </w:p>
        </w:tc>
      </w:tr>
      <w:tr w:rsidR="000D4DBB" w14:paraId="776C7E6B" w14:textId="77777777" w:rsidTr="00262C08">
        <w:trPr>
          <w:cantSplit/>
          <w:jc w:val="center"/>
        </w:trPr>
        <w:tc>
          <w:tcPr>
            <w:tcW w:w="3114" w:type="dxa"/>
            <w:tcMar>
              <w:top w:w="80" w:type="dxa"/>
              <w:left w:w="80" w:type="dxa"/>
              <w:bottom w:w="80" w:type="dxa"/>
              <w:right w:w="80" w:type="dxa"/>
            </w:tcMar>
          </w:tcPr>
          <w:p w14:paraId="392D7503" w14:textId="77777777" w:rsidR="000D4DBB" w:rsidRDefault="000D4DBB" w:rsidP="003E60AD">
            <w:pPr>
              <w:spacing w:after="40"/>
            </w:pPr>
            <w:r>
              <w:rPr>
                <w:sz w:val="17"/>
              </w:rPr>
              <w:t>Alberta</w:t>
            </w:r>
          </w:p>
        </w:tc>
        <w:tc>
          <w:tcPr>
            <w:tcW w:w="3106" w:type="dxa"/>
            <w:tcMar>
              <w:top w:w="80" w:type="dxa"/>
              <w:left w:w="80" w:type="dxa"/>
              <w:bottom w:w="80" w:type="dxa"/>
              <w:right w:w="80" w:type="dxa"/>
            </w:tcMar>
          </w:tcPr>
          <w:p w14:paraId="1FEEC072" w14:textId="77777777" w:rsidR="000D4DBB" w:rsidRDefault="000D4DBB" w:rsidP="003E60AD">
            <w:pPr>
              <w:spacing w:after="40"/>
            </w:pPr>
            <w:r>
              <w:rPr>
                <w:sz w:val="17"/>
              </w:rPr>
              <w:t>Collège des médecins et chirurgiens de l’Alberta.</w:t>
            </w:r>
          </w:p>
        </w:tc>
        <w:tc>
          <w:tcPr>
            <w:tcW w:w="3130" w:type="dxa"/>
            <w:tcMar>
              <w:top w:w="80" w:type="dxa"/>
              <w:left w:w="80" w:type="dxa"/>
              <w:bottom w:w="80" w:type="dxa"/>
              <w:right w:w="80" w:type="dxa"/>
            </w:tcMar>
          </w:tcPr>
          <w:p w14:paraId="4E7DBC37" w14:textId="77777777" w:rsidR="005B3456" w:rsidRDefault="000D4DBB" w:rsidP="003E60AD">
            <w:pPr>
              <w:spacing w:after="40"/>
              <w:rPr>
                <w:sz w:val="17"/>
              </w:rPr>
            </w:pPr>
            <w:hyperlink r:id="rId14">
              <w:r>
                <w:rPr>
                  <w:color w:val="0563C1"/>
                  <w:u w:val="single"/>
                </w:rPr>
                <w:t>Conflit d’intérêts/normes de pratique (en anglais seulement)</w:t>
              </w:r>
            </w:hyperlink>
            <w:r>
              <w:rPr>
                <w:sz w:val="17"/>
              </w:rPr>
              <w:t xml:space="preserve">; </w:t>
            </w:r>
          </w:p>
          <w:p w14:paraId="4A8DF2A4" w14:textId="77777777" w:rsidR="0012023C" w:rsidRDefault="0012023C" w:rsidP="003E60AD">
            <w:pPr>
              <w:spacing w:after="40"/>
              <w:rPr>
                <w:sz w:val="17"/>
              </w:rPr>
            </w:pPr>
          </w:p>
          <w:p w14:paraId="4B798453" w14:textId="77777777" w:rsidR="005B3456" w:rsidRDefault="000D4DBB" w:rsidP="003E60AD">
            <w:pPr>
              <w:spacing w:after="40"/>
              <w:rPr>
                <w:sz w:val="17"/>
              </w:rPr>
            </w:pPr>
            <w:hyperlink r:id="rId15">
              <w:r>
                <w:rPr>
                  <w:color w:val="0563C1"/>
                  <w:u w:val="single"/>
                </w:rPr>
                <w:t>Vente de produits par les médecins (en anglais seulement)</w:t>
              </w:r>
            </w:hyperlink>
            <w:r>
              <w:rPr>
                <w:sz w:val="17"/>
              </w:rPr>
              <w:t xml:space="preserve">; </w:t>
            </w:r>
          </w:p>
          <w:p w14:paraId="207E2C35" w14:textId="77777777" w:rsidR="000D4DBB" w:rsidRDefault="000D4DBB" w:rsidP="003E60AD">
            <w:pPr>
              <w:spacing w:after="40"/>
            </w:pPr>
            <w:hyperlink r:id="rId16">
              <w:r>
                <w:rPr>
                  <w:color w:val="0563C1"/>
                  <w:u w:val="single"/>
                </w:rPr>
                <w:t>Relations avec l’industrie (en anglais seulement)</w:t>
              </w:r>
            </w:hyperlink>
          </w:p>
          <w:p w14:paraId="30D99AFA" w14:textId="77777777" w:rsidR="00B279D7" w:rsidRDefault="00B279D7" w:rsidP="003E60AD">
            <w:pPr>
              <w:spacing w:after="40"/>
            </w:pPr>
          </w:p>
          <w:p w14:paraId="2372A274" w14:textId="77777777" w:rsidR="00B279D7" w:rsidRDefault="00B279D7" w:rsidP="00B279D7">
            <w:hyperlink r:id="rId17" w:history="1">
              <w:r>
                <w:rPr>
                  <w:rStyle w:val="Hyperlink"/>
                </w:rPr>
                <w:t>Facturation des services professionnels non assurés (en anglais seulement)</w:t>
              </w:r>
            </w:hyperlink>
          </w:p>
          <w:p w14:paraId="17263A9D" w14:textId="77777777" w:rsidR="00386054" w:rsidRDefault="00386054" w:rsidP="00B279D7"/>
          <w:p w14:paraId="25598C6A" w14:textId="7FDC38F9" w:rsidR="00B279D7" w:rsidRDefault="00386054" w:rsidP="00386054">
            <w:hyperlink r:id="rId18" w:history="1">
              <w:r>
                <w:rPr>
                  <w:rStyle w:val="Hyperlink"/>
                </w:rPr>
                <w:t>Conflits d’intérêts et relations des médecins avec l’industrie (en anglais seulement)</w:t>
              </w:r>
            </w:hyperlink>
          </w:p>
        </w:tc>
      </w:tr>
      <w:tr w:rsidR="000D4DBB" w14:paraId="6B8568AF" w14:textId="77777777" w:rsidTr="00262C08">
        <w:trPr>
          <w:cantSplit/>
          <w:jc w:val="center"/>
        </w:trPr>
        <w:tc>
          <w:tcPr>
            <w:tcW w:w="3114" w:type="dxa"/>
            <w:tcMar>
              <w:top w:w="80" w:type="dxa"/>
              <w:left w:w="80" w:type="dxa"/>
              <w:bottom w:w="80" w:type="dxa"/>
              <w:right w:w="80" w:type="dxa"/>
            </w:tcMar>
          </w:tcPr>
          <w:p w14:paraId="183ACCC1" w14:textId="77777777" w:rsidR="000D4DBB" w:rsidRDefault="000D4DBB" w:rsidP="003E60AD">
            <w:pPr>
              <w:spacing w:after="40"/>
            </w:pPr>
            <w:r>
              <w:rPr>
                <w:sz w:val="17"/>
              </w:rPr>
              <w:t>Saskatchewan</w:t>
            </w:r>
          </w:p>
        </w:tc>
        <w:tc>
          <w:tcPr>
            <w:tcW w:w="3106" w:type="dxa"/>
            <w:tcMar>
              <w:top w:w="80" w:type="dxa"/>
              <w:left w:w="80" w:type="dxa"/>
              <w:bottom w:w="80" w:type="dxa"/>
              <w:right w:w="80" w:type="dxa"/>
            </w:tcMar>
          </w:tcPr>
          <w:p w14:paraId="22CDC196" w14:textId="77777777" w:rsidR="000D4DBB" w:rsidRDefault="000D4DBB" w:rsidP="003E60AD">
            <w:pPr>
              <w:spacing w:after="40"/>
            </w:pPr>
            <w:r>
              <w:rPr>
                <w:sz w:val="17"/>
              </w:rPr>
              <w:t>Collège des médecins et chirurgiens de la Saskatchewan</w:t>
            </w:r>
          </w:p>
        </w:tc>
        <w:tc>
          <w:tcPr>
            <w:tcW w:w="3130" w:type="dxa"/>
            <w:tcMar>
              <w:top w:w="80" w:type="dxa"/>
              <w:left w:w="80" w:type="dxa"/>
              <w:bottom w:w="80" w:type="dxa"/>
              <w:right w:w="80" w:type="dxa"/>
            </w:tcMar>
          </w:tcPr>
          <w:p w14:paraId="3F47C7B8" w14:textId="2AFD6F9E" w:rsidR="000D4DBB" w:rsidRDefault="000D4DBB" w:rsidP="003E60AD">
            <w:pPr>
              <w:spacing w:after="40"/>
            </w:pPr>
            <w:hyperlink r:id="rId19">
              <w:r>
                <w:rPr>
                  <w:color w:val="0563C1"/>
                  <w:u w:val="single"/>
                </w:rPr>
                <w:t>Vente de produits par les médecins (en anglais seulement)</w:t>
              </w:r>
            </w:hyperlink>
            <w:r>
              <w:rPr>
                <w:sz w:val="17"/>
              </w:rPr>
              <w:t xml:space="preserve">; </w:t>
            </w:r>
            <w:hyperlink r:id="rId20">
              <w:r>
                <w:rPr>
                  <w:color w:val="0563C1"/>
                  <w:u w:val="single"/>
                </w:rPr>
                <w:t>Politiques et lignes directrices du CMCS (en anglais seulement)</w:t>
              </w:r>
            </w:hyperlink>
          </w:p>
          <w:p w14:paraId="1C786507" w14:textId="77777777" w:rsidR="004E0BAB" w:rsidRDefault="004E0BAB" w:rsidP="003E60AD">
            <w:pPr>
              <w:spacing w:after="40"/>
            </w:pPr>
          </w:p>
          <w:p w14:paraId="51C8864C" w14:textId="77777777" w:rsidR="004E0BAB" w:rsidRDefault="004E0BAB" w:rsidP="004E0BAB">
            <w:hyperlink r:id="rId21" w:history="1">
              <w:r>
                <w:rPr>
                  <w:rStyle w:val="Hyperlink"/>
                </w:rPr>
                <w:t>9.1 Conflit d’intérêts (en anglais seulement)</w:t>
              </w:r>
            </w:hyperlink>
          </w:p>
          <w:p w14:paraId="14D4F9C3" w14:textId="77777777" w:rsidR="004E0BAB" w:rsidRPr="007F34D9" w:rsidRDefault="004E0BAB" w:rsidP="004E0BAB"/>
          <w:p w14:paraId="4A88572E" w14:textId="497E73BF" w:rsidR="004E0BAB" w:rsidRDefault="004E0BAB" w:rsidP="004E0BAB">
            <w:pPr>
              <w:spacing w:after="40"/>
            </w:pPr>
            <w:hyperlink r:id="rId22" w:history="1">
              <w:r>
                <w:rPr>
                  <w:rStyle w:val="Hyperlink"/>
                </w:rPr>
                <w:t>Services non assurés (en anglais seulement) (à réviser en septembre 2026)</w:t>
              </w:r>
            </w:hyperlink>
          </w:p>
        </w:tc>
      </w:tr>
      <w:tr w:rsidR="000D4DBB" w14:paraId="7A46F637" w14:textId="77777777" w:rsidTr="00262C08">
        <w:trPr>
          <w:cantSplit/>
          <w:jc w:val="center"/>
        </w:trPr>
        <w:tc>
          <w:tcPr>
            <w:tcW w:w="3114" w:type="dxa"/>
            <w:tcMar>
              <w:top w:w="80" w:type="dxa"/>
              <w:left w:w="80" w:type="dxa"/>
              <w:bottom w:w="80" w:type="dxa"/>
              <w:right w:w="80" w:type="dxa"/>
            </w:tcMar>
          </w:tcPr>
          <w:p w14:paraId="780DEDC4" w14:textId="77777777" w:rsidR="000D4DBB" w:rsidRDefault="000D4DBB" w:rsidP="003E60AD">
            <w:pPr>
              <w:spacing w:after="40"/>
            </w:pPr>
            <w:r>
              <w:rPr>
                <w:sz w:val="17"/>
              </w:rPr>
              <w:lastRenderedPageBreak/>
              <w:t>Manitoba</w:t>
            </w:r>
          </w:p>
        </w:tc>
        <w:tc>
          <w:tcPr>
            <w:tcW w:w="3106" w:type="dxa"/>
            <w:tcMar>
              <w:top w:w="80" w:type="dxa"/>
              <w:left w:w="80" w:type="dxa"/>
              <w:bottom w:w="80" w:type="dxa"/>
              <w:right w:w="80" w:type="dxa"/>
            </w:tcMar>
          </w:tcPr>
          <w:p w14:paraId="4967837F" w14:textId="77777777" w:rsidR="000D4DBB" w:rsidRDefault="000D4DBB" w:rsidP="003E60AD">
            <w:pPr>
              <w:spacing w:after="40"/>
            </w:pPr>
            <w:r>
              <w:rPr>
                <w:sz w:val="17"/>
              </w:rPr>
              <w:t>Collège des médecins et chirurgiens du Manitoba.</w:t>
            </w:r>
          </w:p>
        </w:tc>
        <w:tc>
          <w:tcPr>
            <w:tcW w:w="3130" w:type="dxa"/>
            <w:tcMar>
              <w:top w:w="80" w:type="dxa"/>
              <w:left w:w="80" w:type="dxa"/>
              <w:bottom w:w="80" w:type="dxa"/>
              <w:right w:w="80" w:type="dxa"/>
            </w:tcMar>
          </w:tcPr>
          <w:p w14:paraId="0D9FEA88" w14:textId="77777777" w:rsidR="000D4DBB" w:rsidRDefault="000D4DBB" w:rsidP="003E60AD">
            <w:pPr>
              <w:spacing w:after="40"/>
            </w:pPr>
            <w:hyperlink r:id="rId23">
              <w:r>
                <w:rPr>
                  <w:color w:val="0563C1"/>
                  <w:u w:val="single"/>
                </w:rPr>
                <w:t>Conflit d’intérêts (en anglais seulement)</w:t>
              </w:r>
            </w:hyperlink>
            <w:r>
              <w:rPr>
                <w:sz w:val="17"/>
              </w:rPr>
              <w:t xml:space="preserve">; </w:t>
            </w:r>
            <w:hyperlink r:id="rId24">
              <w:r>
                <w:rPr>
                  <w:color w:val="0563C1"/>
                  <w:u w:val="single"/>
                </w:rPr>
                <w:t>Normes pour l’exercice de la médecine (en anglais seulement)</w:t>
              </w:r>
            </w:hyperlink>
          </w:p>
          <w:p w14:paraId="3802C7B2" w14:textId="77777777" w:rsidR="001348B6" w:rsidRDefault="001348B6" w:rsidP="003E60AD">
            <w:pPr>
              <w:spacing w:after="40"/>
            </w:pPr>
          </w:p>
          <w:p w14:paraId="4FD26307" w14:textId="77777777" w:rsidR="00A178C9" w:rsidRDefault="00A178C9" w:rsidP="00A178C9">
            <w:hyperlink r:id="rId25" w:history="1">
              <w:r>
                <w:rPr>
                  <w:rStyle w:val="Hyperlink"/>
                </w:rPr>
                <w:t>Conflit d’intérêts (en anglais seulement)</w:t>
              </w:r>
            </w:hyperlink>
          </w:p>
          <w:p w14:paraId="0B081320" w14:textId="77777777" w:rsidR="00A178C9" w:rsidRDefault="00A178C9" w:rsidP="003E60AD">
            <w:pPr>
              <w:spacing w:after="40"/>
            </w:pPr>
          </w:p>
          <w:p w14:paraId="3F4F22FE" w14:textId="77777777" w:rsidR="00F62DEE" w:rsidRDefault="00F62DEE" w:rsidP="00F62DEE">
            <w:hyperlink r:id="rId26" w:anchor="section-19" w:history="1">
              <w:r>
                <w:rPr>
                  <w:rStyle w:val="Hyperlink"/>
                </w:rPr>
                <w:t xml:space="preserve">Interactions entre le Max Rady </w:t>
              </w:r>
              <w:proofErr w:type="spellStart"/>
              <w:r>
                <w:rPr>
                  <w:rStyle w:val="Hyperlink"/>
                </w:rPr>
                <w:t>College</w:t>
              </w:r>
              <w:proofErr w:type="spellEnd"/>
              <w:r>
                <w:rPr>
                  <w:rStyle w:val="Hyperlink"/>
                </w:rPr>
                <w:t xml:space="preserve"> of Medicine et les industries du domaine de la santé (en anglais seulement)</w:t>
              </w:r>
            </w:hyperlink>
          </w:p>
          <w:p w14:paraId="626106CF" w14:textId="77777777" w:rsidR="00F62DEE" w:rsidRDefault="00F62DEE" w:rsidP="003E60AD">
            <w:pPr>
              <w:spacing w:after="40"/>
            </w:pPr>
          </w:p>
          <w:p w14:paraId="232C6C64" w14:textId="77777777" w:rsidR="001348B6" w:rsidRDefault="001348B6" w:rsidP="003E60AD">
            <w:pPr>
              <w:spacing w:after="40"/>
            </w:pPr>
          </w:p>
        </w:tc>
      </w:tr>
      <w:tr w:rsidR="000D4DBB" w14:paraId="35760E0F" w14:textId="77777777" w:rsidTr="00262C08">
        <w:trPr>
          <w:cantSplit/>
          <w:jc w:val="center"/>
        </w:trPr>
        <w:tc>
          <w:tcPr>
            <w:tcW w:w="3114" w:type="dxa"/>
            <w:tcMar>
              <w:top w:w="80" w:type="dxa"/>
              <w:left w:w="80" w:type="dxa"/>
              <w:bottom w:w="80" w:type="dxa"/>
              <w:right w:w="80" w:type="dxa"/>
            </w:tcMar>
          </w:tcPr>
          <w:p w14:paraId="0F609D89" w14:textId="77777777" w:rsidR="000D4DBB" w:rsidRDefault="000D4DBB" w:rsidP="003E60AD">
            <w:pPr>
              <w:spacing w:after="40"/>
            </w:pPr>
            <w:r>
              <w:rPr>
                <w:sz w:val="17"/>
              </w:rPr>
              <w:t>Ontario</w:t>
            </w:r>
          </w:p>
        </w:tc>
        <w:tc>
          <w:tcPr>
            <w:tcW w:w="3106" w:type="dxa"/>
            <w:tcMar>
              <w:top w:w="80" w:type="dxa"/>
              <w:left w:w="80" w:type="dxa"/>
              <w:bottom w:w="80" w:type="dxa"/>
              <w:right w:w="80" w:type="dxa"/>
            </w:tcMar>
          </w:tcPr>
          <w:p w14:paraId="0888467F" w14:textId="31C9026F" w:rsidR="000D4DBB" w:rsidRDefault="000D4DBB" w:rsidP="003E60AD">
            <w:pPr>
              <w:spacing w:after="40"/>
            </w:pPr>
            <w:r>
              <w:rPr>
                <w:sz w:val="17"/>
              </w:rPr>
              <w:t>Ordre des médecins et chirurgiens de l</w:t>
            </w:r>
            <w:r w:rsidR="004C24F0">
              <w:rPr>
                <w:sz w:val="17"/>
              </w:rPr>
              <w:t>’</w:t>
            </w:r>
            <w:r>
              <w:rPr>
                <w:sz w:val="17"/>
              </w:rPr>
              <w:t>Ontario</w:t>
            </w:r>
          </w:p>
        </w:tc>
        <w:tc>
          <w:tcPr>
            <w:tcW w:w="3130" w:type="dxa"/>
            <w:tcMar>
              <w:top w:w="80" w:type="dxa"/>
              <w:left w:w="80" w:type="dxa"/>
              <w:bottom w:w="80" w:type="dxa"/>
              <w:right w:w="80" w:type="dxa"/>
            </w:tcMar>
          </w:tcPr>
          <w:p w14:paraId="78633FB1" w14:textId="77777777" w:rsidR="00F62DEE" w:rsidRDefault="000D4DBB" w:rsidP="003E60AD">
            <w:pPr>
              <w:spacing w:after="40"/>
              <w:rPr>
                <w:sz w:val="17"/>
              </w:rPr>
            </w:pPr>
            <w:hyperlink r:id="rId27">
              <w:r>
                <w:rPr>
                  <w:color w:val="0563C1"/>
                  <w:u w:val="single"/>
                </w:rPr>
                <w:t>Conflits d’intérêts et relations avec l’industrie (en anglais seulement)</w:t>
              </w:r>
            </w:hyperlink>
            <w:r>
              <w:rPr>
                <w:sz w:val="17"/>
              </w:rPr>
              <w:t xml:space="preserve">; </w:t>
            </w:r>
          </w:p>
          <w:p w14:paraId="22F4A9DB" w14:textId="77777777" w:rsidR="00F62DEE" w:rsidRDefault="00F62DEE" w:rsidP="003E60AD">
            <w:pPr>
              <w:spacing w:after="40"/>
              <w:rPr>
                <w:sz w:val="17"/>
              </w:rPr>
            </w:pPr>
          </w:p>
          <w:p w14:paraId="4F7E7669" w14:textId="77777777" w:rsidR="000D4DBB" w:rsidRDefault="000D4DBB" w:rsidP="003E60AD">
            <w:pPr>
              <w:spacing w:after="40"/>
            </w:pPr>
            <w:hyperlink r:id="rId28">
              <w:r>
                <w:rPr>
                  <w:color w:val="0563C1"/>
                  <w:u w:val="single"/>
                </w:rPr>
                <w:t>Conseils à la profession (en anglais seulement)</w:t>
              </w:r>
            </w:hyperlink>
            <w:r>
              <w:rPr>
                <w:sz w:val="17"/>
              </w:rPr>
              <w:t xml:space="preserve">; </w:t>
            </w:r>
            <w:hyperlink r:id="rId29">
              <w:r>
                <w:rPr>
                  <w:color w:val="0563C1"/>
                  <w:u w:val="single"/>
                </w:rPr>
                <w:t>Politiques, y compris à propos des services non assurés</w:t>
              </w:r>
            </w:hyperlink>
          </w:p>
          <w:p w14:paraId="0629648E" w14:textId="77777777" w:rsidR="002C6E2C" w:rsidRDefault="002C6E2C" w:rsidP="003E60AD">
            <w:pPr>
              <w:spacing w:after="40"/>
            </w:pPr>
          </w:p>
          <w:p w14:paraId="7D035BB9" w14:textId="77777777" w:rsidR="002C6E2C" w:rsidRDefault="002C6E2C" w:rsidP="002C6E2C">
            <w:hyperlink r:id="rId30" w:history="1">
              <w:r>
                <w:rPr>
                  <w:rStyle w:val="Hyperlink"/>
                </w:rPr>
                <w:t>Services non assurés, facturation et frais forfaitaires (en anglais seulement)</w:t>
              </w:r>
            </w:hyperlink>
            <w:r>
              <w:t xml:space="preserve"> </w:t>
            </w:r>
          </w:p>
          <w:p w14:paraId="6F0532AD" w14:textId="128F6A7B" w:rsidR="002C6E2C" w:rsidRDefault="002C6E2C" w:rsidP="003E60AD">
            <w:pPr>
              <w:spacing w:after="40"/>
            </w:pPr>
          </w:p>
        </w:tc>
      </w:tr>
      <w:tr w:rsidR="000D4DBB" w:rsidRPr="00FF21C1" w14:paraId="510AB73C" w14:textId="77777777" w:rsidTr="00262C08">
        <w:trPr>
          <w:cantSplit/>
          <w:jc w:val="center"/>
        </w:trPr>
        <w:tc>
          <w:tcPr>
            <w:tcW w:w="3114" w:type="dxa"/>
            <w:tcMar>
              <w:top w:w="80" w:type="dxa"/>
              <w:left w:w="80" w:type="dxa"/>
              <w:bottom w:w="80" w:type="dxa"/>
              <w:right w:w="80" w:type="dxa"/>
            </w:tcMar>
          </w:tcPr>
          <w:p w14:paraId="0D062EFE" w14:textId="77777777" w:rsidR="000D4DBB" w:rsidRDefault="000D4DBB" w:rsidP="003E60AD">
            <w:pPr>
              <w:spacing w:after="40"/>
            </w:pPr>
            <w:r>
              <w:rPr>
                <w:sz w:val="17"/>
              </w:rPr>
              <w:t>Québec</w:t>
            </w:r>
          </w:p>
        </w:tc>
        <w:tc>
          <w:tcPr>
            <w:tcW w:w="3106" w:type="dxa"/>
            <w:tcMar>
              <w:top w:w="80" w:type="dxa"/>
              <w:left w:w="80" w:type="dxa"/>
              <w:bottom w:w="80" w:type="dxa"/>
              <w:right w:w="80" w:type="dxa"/>
            </w:tcMar>
          </w:tcPr>
          <w:p w14:paraId="41457C12" w14:textId="77777777" w:rsidR="000D4DBB" w:rsidRPr="009E3B16" w:rsidRDefault="000D4DBB" w:rsidP="003E60AD">
            <w:pPr>
              <w:spacing w:after="40"/>
            </w:pPr>
            <w:r>
              <w:rPr>
                <w:sz w:val="17"/>
              </w:rPr>
              <w:t>Collège des médecins du Québec</w:t>
            </w:r>
          </w:p>
        </w:tc>
        <w:tc>
          <w:tcPr>
            <w:tcW w:w="3130" w:type="dxa"/>
            <w:tcMar>
              <w:top w:w="80" w:type="dxa"/>
              <w:left w:w="80" w:type="dxa"/>
              <w:bottom w:w="80" w:type="dxa"/>
              <w:right w:w="80" w:type="dxa"/>
            </w:tcMar>
          </w:tcPr>
          <w:p w14:paraId="5819C1AD" w14:textId="77777777" w:rsidR="002C6E2C" w:rsidRDefault="000D4DBB" w:rsidP="003E60AD">
            <w:pPr>
              <w:spacing w:after="40"/>
              <w:rPr>
                <w:sz w:val="17"/>
              </w:rPr>
            </w:pPr>
            <w:hyperlink r:id="rId31">
              <w:r>
                <w:rPr>
                  <w:color w:val="0563C1"/>
                  <w:u w:val="single"/>
                </w:rPr>
                <w:t>CMQ – Règlements et obligations de l’exercice de la médecine</w:t>
              </w:r>
            </w:hyperlink>
            <w:r>
              <w:rPr>
                <w:sz w:val="17"/>
              </w:rPr>
              <w:t xml:space="preserve">; </w:t>
            </w:r>
          </w:p>
          <w:p w14:paraId="6A3992E1" w14:textId="77777777" w:rsidR="002C6E2C" w:rsidRDefault="002C6E2C" w:rsidP="003E60AD">
            <w:pPr>
              <w:spacing w:after="40"/>
              <w:rPr>
                <w:sz w:val="17"/>
              </w:rPr>
            </w:pPr>
          </w:p>
          <w:p w14:paraId="09B5A1D7" w14:textId="77777777" w:rsidR="000D4DBB" w:rsidRPr="009E3B16" w:rsidRDefault="000D4DBB" w:rsidP="003E60AD">
            <w:pPr>
              <w:spacing w:after="40"/>
            </w:pPr>
            <w:hyperlink r:id="rId32">
              <w:r>
                <w:rPr>
                  <w:color w:val="0563C1"/>
                  <w:u w:val="single"/>
                </w:rPr>
                <w:t>Code de déontologie des médecins (</w:t>
              </w:r>
              <w:proofErr w:type="spellStart"/>
              <w:r>
                <w:rPr>
                  <w:color w:val="0563C1"/>
                  <w:u w:val="single"/>
                </w:rPr>
                <w:t>LégisQuébec</w:t>
              </w:r>
              <w:proofErr w:type="spellEnd"/>
              <w:r>
                <w:rPr>
                  <w:color w:val="0563C1"/>
                  <w:u w:val="single"/>
                </w:rPr>
                <w:t>)</w:t>
              </w:r>
            </w:hyperlink>
          </w:p>
          <w:p w14:paraId="7A31006C" w14:textId="77777777" w:rsidR="00EB60CC" w:rsidRPr="009E3B16" w:rsidRDefault="00EB60CC" w:rsidP="003E60AD">
            <w:pPr>
              <w:spacing w:after="40"/>
            </w:pPr>
          </w:p>
          <w:p w14:paraId="21B5A86A" w14:textId="44EA1A9B" w:rsidR="00EB60CC" w:rsidRPr="009E3B16" w:rsidRDefault="00EB60CC" w:rsidP="003E60AD">
            <w:pPr>
              <w:spacing w:after="40"/>
            </w:pPr>
            <w:hyperlink r:id="rId33" w:history="1">
              <w:r>
                <w:rPr>
                  <w:rStyle w:val="Hyperlink"/>
                </w:rPr>
                <w:t>Facturation des frais accessoires et des services non assurés</w:t>
              </w:r>
            </w:hyperlink>
          </w:p>
        </w:tc>
      </w:tr>
      <w:tr w:rsidR="000D4DBB" w14:paraId="26CB30C9" w14:textId="77777777" w:rsidTr="00262C08">
        <w:trPr>
          <w:cantSplit/>
          <w:jc w:val="center"/>
        </w:trPr>
        <w:tc>
          <w:tcPr>
            <w:tcW w:w="3114" w:type="dxa"/>
            <w:tcMar>
              <w:top w:w="80" w:type="dxa"/>
              <w:left w:w="80" w:type="dxa"/>
              <w:bottom w:w="80" w:type="dxa"/>
              <w:right w:w="80" w:type="dxa"/>
            </w:tcMar>
          </w:tcPr>
          <w:p w14:paraId="232452A3" w14:textId="77777777" w:rsidR="000D4DBB" w:rsidRDefault="000D4DBB" w:rsidP="003E60AD">
            <w:pPr>
              <w:spacing w:after="40"/>
            </w:pPr>
            <w:r>
              <w:rPr>
                <w:sz w:val="17"/>
              </w:rPr>
              <w:t>Nouveau-Brunswick</w:t>
            </w:r>
          </w:p>
        </w:tc>
        <w:tc>
          <w:tcPr>
            <w:tcW w:w="3106" w:type="dxa"/>
            <w:tcMar>
              <w:top w:w="80" w:type="dxa"/>
              <w:left w:w="80" w:type="dxa"/>
              <w:bottom w:w="80" w:type="dxa"/>
              <w:right w:w="80" w:type="dxa"/>
            </w:tcMar>
          </w:tcPr>
          <w:p w14:paraId="438308E3" w14:textId="77777777" w:rsidR="000D4DBB" w:rsidRDefault="000D4DBB" w:rsidP="003E60AD">
            <w:pPr>
              <w:spacing w:after="40"/>
            </w:pPr>
            <w:r>
              <w:rPr>
                <w:sz w:val="17"/>
              </w:rPr>
              <w:t xml:space="preserve">Collège des médecins et chirurgiens du Nouveau-Brunswick </w:t>
            </w:r>
          </w:p>
        </w:tc>
        <w:tc>
          <w:tcPr>
            <w:tcW w:w="3130" w:type="dxa"/>
            <w:tcMar>
              <w:top w:w="80" w:type="dxa"/>
              <w:left w:w="80" w:type="dxa"/>
              <w:bottom w:w="80" w:type="dxa"/>
              <w:right w:w="80" w:type="dxa"/>
            </w:tcMar>
          </w:tcPr>
          <w:p w14:paraId="31B9509A" w14:textId="77777777" w:rsidR="00DA4E94" w:rsidRDefault="00DA4E94" w:rsidP="00DA4E94">
            <w:hyperlink r:id="rId34" w:anchor="page=1" w:history="1">
              <w:r>
                <w:rPr>
                  <w:rStyle w:val="Hyperlink"/>
                </w:rPr>
                <w:t>Code d’éthique et de professionnalisme de l’AMC</w:t>
              </w:r>
            </w:hyperlink>
          </w:p>
          <w:p w14:paraId="2D55E057" w14:textId="77777777" w:rsidR="00DA4E94" w:rsidRPr="007F34D9" w:rsidRDefault="00DA4E94" w:rsidP="00DA4E94"/>
          <w:p w14:paraId="528C2C84" w14:textId="33769398" w:rsidR="00DA4E94" w:rsidRDefault="00016D6D" w:rsidP="00DA4E94">
            <w:hyperlink r:id="rId35" w:history="1">
              <w:r w:rsidR="00DA4E94" w:rsidRPr="00016D6D">
                <w:rPr>
                  <w:rStyle w:val="Hyperlink"/>
                </w:rPr>
                <w:t>Normes professionnelles</w:t>
              </w:r>
              <w:r w:rsidR="008E78BA" w:rsidRPr="00016D6D">
                <w:rPr>
                  <w:rStyle w:val="Hyperlink"/>
                </w:rPr>
                <w:t xml:space="preserve"> (p. </w:t>
              </w:r>
              <w:r w:rsidR="00B71F7E" w:rsidRPr="00016D6D">
                <w:rPr>
                  <w:rStyle w:val="Hyperlink"/>
                </w:rPr>
                <w:t>7</w:t>
              </w:r>
              <w:r w:rsidR="008E78BA" w:rsidRPr="00016D6D">
                <w:rPr>
                  <w:rStyle w:val="Hyperlink"/>
                </w:rPr>
                <w:t>)</w:t>
              </w:r>
            </w:hyperlink>
          </w:p>
          <w:p w14:paraId="6694A5A8" w14:textId="77777777" w:rsidR="00DA4E94" w:rsidRDefault="00DA4E94" w:rsidP="00DA4E94"/>
          <w:p w14:paraId="14F8C5DB" w14:textId="206240CE" w:rsidR="00B2088D" w:rsidRDefault="00DA4E94" w:rsidP="00DA4E94">
            <w:pPr>
              <w:spacing w:after="40"/>
            </w:pPr>
            <w:hyperlink r:id="rId36" w:history="1">
              <w:r>
                <w:rPr>
                  <w:rStyle w:val="Hyperlink"/>
                </w:rPr>
                <w:t>Facturation des services non assurés</w:t>
              </w:r>
            </w:hyperlink>
          </w:p>
        </w:tc>
      </w:tr>
      <w:tr w:rsidR="000D4DBB" w14:paraId="5DEB41C7" w14:textId="77777777" w:rsidTr="00262C08">
        <w:trPr>
          <w:cantSplit/>
          <w:jc w:val="center"/>
        </w:trPr>
        <w:tc>
          <w:tcPr>
            <w:tcW w:w="3114" w:type="dxa"/>
            <w:tcMar>
              <w:top w:w="80" w:type="dxa"/>
              <w:left w:w="80" w:type="dxa"/>
              <w:bottom w:w="80" w:type="dxa"/>
              <w:right w:w="80" w:type="dxa"/>
            </w:tcMar>
          </w:tcPr>
          <w:p w14:paraId="5C1B5AC5" w14:textId="77777777" w:rsidR="000D4DBB" w:rsidRDefault="000D4DBB" w:rsidP="003E60AD">
            <w:pPr>
              <w:spacing w:after="40"/>
            </w:pPr>
            <w:r>
              <w:rPr>
                <w:sz w:val="17"/>
              </w:rPr>
              <w:lastRenderedPageBreak/>
              <w:t>Nouvelle-Écosse</w:t>
            </w:r>
          </w:p>
        </w:tc>
        <w:tc>
          <w:tcPr>
            <w:tcW w:w="3106" w:type="dxa"/>
            <w:tcMar>
              <w:top w:w="80" w:type="dxa"/>
              <w:left w:w="80" w:type="dxa"/>
              <w:bottom w:w="80" w:type="dxa"/>
              <w:right w:w="80" w:type="dxa"/>
            </w:tcMar>
          </w:tcPr>
          <w:p w14:paraId="207629E9" w14:textId="77777777" w:rsidR="000D4DBB" w:rsidRDefault="000D4DBB" w:rsidP="003E60AD">
            <w:pPr>
              <w:spacing w:after="40"/>
            </w:pPr>
            <w:r>
              <w:rPr>
                <w:sz w:val="17"/>
              </w:rPr>
              <w:t>Ordre des médecins et chirurgiens de la Nouvelle-Écosse</w:t>
            </w:r>
          </w:p>
        </w:tc>
        <w:tc>
          <w:tcPr>
            <w:tcW w:w="3130" w:type="dxa"/>
            <w:tcMar>
              <w:top w:w="80" w:type="dxa"/>
              <w:left w:w="80" w:type="dxa"/>
              <w:bottom w:w="80" w:type="dxa"/>
              <w:right w:w="80" w:type="dxa"/>
            </w:tcMar>
          </w:tcPr>
          <w:p w14:paraId="73710F2E" w14:textId="77777777" w:rsidR="00657791" w:rsidRDefault="000D4DBB" w:rsidP="003E60AD">
            <w:pPr>
              <w:spacing w:after="40"/>
              <w:rPr>
                <w:sz w:val="17"/>
              </w:rPr>
            </w:pPr>
            <w:hyperlink r:id="rId37">
              <w:r>
                <w:rPr>
                  <w:color w:val="0563C1"/>
                  <w:u w:val="single"/>
                </w:rPr>
                <w:t>Conflit d’intérêts (en anglais seulement)</w:t>
              </w:r>
            </w:hyperlink>
            <w:r>
              <w:rPr>
                <w:sz w:val="17"/>
              </w:rPr>
              <w:t xml:space="preserve">; </w:t>
            </w:r>
            <w:hyperlink r:id="rId38">
              <w:r>
                <w:rPr>
                  <w:color w:val="0563C1"/>
                  <w:u w:val="single"/>
                </w:rPr>
                <w:t>Vente de produits et services aux patients (en anglais seulement)</w:t>
              </w:r>
            </w:hyperlink>
            <w:r>
              <w:rPr>
                <w:sz w:val="17"/>
              </w:rPr>
              <w:t xml:space="preserve">; </w:t>
            </w:r>
          </w:p>
          <w:p w14:paraId="2F4DBE08" w14:textId="77777777" w:rsidR="00657791" w:rsidRDefault="00657791" w:rsidP="003E60AD">
            <w:pPr>
              <w:spacing w:after="40"/>
              <w:rPr>
                <w:sz w:val="17"/>
              </w:rPr>
            </w:pPr>
          </w:p>
          <w:p w14:paraId="4C77AE24" w14:textId="53604541" w:rsidR="00DA4E94" w:rsidRDefault="000D4DBB" w:rsidP="003E60AD">
            <w:pPr>
              <w:spacing w:after="40"/>
              <w:rPr>
                <w:sz w:val="17"/>
              </w:rPr>
            </w:pPr>
            <w:hyperlink r:id="rId39">
              <w:r>
                <w:rPr>
                  <w:color w:val="0563C1"/>
                  <w:u w:val="single"/>
                </w:rPr>
                <w:t>Facturation (en anglais seulement)</w:t>
              </w:r>
            </w:hyperlink>
            <w:r>
              <w:rPr>
                <w:sz w:val="17"/>
              </w:rPr>
              <w:t xml:space="preserve">; </w:t>
            </w:r>
          </w:p>
          <w:p w14:paraId="60212E22" w14:textId="77777777" w:rsidR="00DA4E94" w:rsidRDefault="00DA4E94" w:rsidP="003E60AD">
            <w:pPr>
              <w:spacing w:after="40"/>
              <w:rPr>
                <w:sz w:val="17"/>
              </w:rPr>
            </w:pPr>
          </w:p>
          <w:p w14:paraId="58F9B379" w14:textId="77777777" w:rsidR="000D4DBB" w:rsidRDefault="000D4DBB" w:rsidP="003E60AD">
            <w:pPr>
              <w:spacing w:after="40"/>
            </w:pPr>
            <w:hyperlink r:id="rId40">
              <w:r>
                <w:rPr>
                  <w:color w:val="0563C1"/>
                  <w:u w:val="single"/>
                </w:rPr>
                <w:t>Intérêts et participations dans un établissement ou une entreprise (en anglais seulement)</w:t>
              </w:r>
            </w:hyperlink>
          </w:p>
          <w:p w14:paraId="52644C73" w14:textId="77777777" w:rsidR="00AD2437" w:rsidRDefault="00AD2437" w:rsidP="003E60AD">
            <w:pPr>
              <w:spacing w:after="40"/>
            </w:pPr>
          </w:p>
          <w:p w14:paraId="6CD5C864" w14:textId="77777777" w:rsidR="00AD2437" w:rsidRDefault="00AD2437" w:rsidP="00AD2437">
            <w:hyperlink r:id="rId41" w:history="1">
              <w:r>
                <w:rPr>
                  <w:rStyle w:val="Hyperlink"/>
                </w:rPr>
                <w:t>Norme sur les conflits d’intérêts (en anglais seulement)</w:t>
              </w:r>
            </w:hyperlink>
            <w:r>
              <w:t xml:space="preserve"> </w:t>
            </w:r>
          </w:p>
          <w:p w14:paraId="70328A29" w14:textId="266086D4" w:rsidR="00AD2437" w:rsidRDefault="00AD2437" w:rsidP="003E60AD">
            <w:pPr>
              <w:spacing w:after="40"/>
            </w:pPr>
          </w:p>
        </w:tc>
      </w:tr>
      <w:tr w:rsidR="000D4DBB" w14:paraId="6808ADE8" w14:textId="77777777" w:rsidTr="00262C08">
        <w:trPr>
          <w:cantSplit/>
          <w:jc w:val="center"/>
        </w:trPr>
        <w:tc>
          <w:tcPr>
            <w:tcW w:w="3114" w:type="dxa"/>
            <w:tcMar>
              <w:top w:w="80" w:type="dxa"/>
              <w:left w:w="80" w:type="dxa"/>
              <w:bottom w:w="80" w:type="dxa"/>
              <w:right w:w="80" w:type="dxa"/>
            </w:tcMar>
          </w:tcPr>
          <w:p w14:paraId="254744F0" w14:textId="77777777" w:rsidR="000D4DBB" w:rsidRDefault="000D4DBB" w:rsidP="003E60AD">
            <w:pPr>
              <w:spacing w:after="40"/>
            </w:pPr>
            <w:r>
              <w:rPr>
                <w:sz w:val="17"/>
              </w:rPr>
              <w:t>Île-du-Prince-Édouard</w:t>
            </w:r>
          </w:p>
        </w:tc>
        <w:tc>
          <w:tcPr>
            <w:tcW w:w="3106" w:type="dxa"/>
            <w:tcMar>
              <w:top w:w="80" w:type="dxa"/>
              <w:left w:w="80" w:type="dxa"/>
              <w:bottom w:w="80" w:type="dxa"/>
              <w:right w:w="80" w:type="dxa"/>
            </w:tcMar>
          </w:tcPr>
          <w:p w14:paraId="3A2C7644" w14:textId="77777777" w:rsidR="000D4DBB" w:rsidRDefault="000D4DBB" w:rsidP="003E60AD">
            <w:pPr>
              <w:spacing w:after="40"/>
            </w:pPr>
            <w:r>
              <w:rPr>
                <w:sz w:val="17"/>
              </w:rPr>
              <w:t>Ordre des médecins et chirurgiens de l’Île-du-Prince-Édouard</w:t>
            </w:r>
          </w:p>
        </w:tc>
        <w:tc>
          <w:tcPr>
            <w:tcW w:w="3130" w:type="dxa"/>
            <w:tcMar>
              <w:top w:w="80" w:type="dxa"/>
              <w:left w:w="80" w:type="dxa"/>
              <w:bottom w:w="80" w:type="dxa"/>
              <w:right w:w="80" w:type="dxa"/>
            </w:tcMar>
          </w:tcPr>
          <w:p w14:paraId="51A885AD" w14:textId="77777777" w:rsidR="008F10DF" w:rsidRDefault="000D4DBB" w:rsidP="003E60AD">
            <w:pPr>
              <w:spacing w:after="40"/>
              <w:rPr>
                <w:sz w:val="17"/>
              </w:rPr>
            </w:pPr>
            <w:hyperlink r:id="rId42">
              <w:r>
                <w:rPr>
                  <w:color w:val="0563C1"/>
                  <w:u w:val="single"/>
                </w:rPr>
                <w:t>Facturation des services non assurés (octobre 2025) (en anglais seulement)</w:t>
              </w:r>
            </w:hyperlink>
            <w:r>
              <w:rPr>
                <w:sz w:val="17"/>
              </w:rPr>
              <w:t>;</w:t>
            </w:r>
          </w:p>
          <w:p w14:paraId="7B1A1881" w14:textId="77777777" w:rsidR="008F10DF" w:rsidRDefault="008F10DF" w:rsidP="003E60AD">
            <w:pPr>
              <w:spacing w:after="40"/>
              <w:rPr>
                <w:sz w:val="17"/>
              </w:rPr>
            </w:pPr>
          </w:p>
          <w:p w14:paraId="14E35F76" w14:textId="77777777" w:rsidR="008F10DF" w:rsidRDefault="000D4DBB" w:rsidP="003E60AD">
            <w:pPr>
              <w:spacing w:after="40"/>
              <w:rPr>
                <w:sz w:val="17"/>
              </w:rPr>
            </w:pPr>
            <w:r>
              <w:rPr>
                <w:sz w:val="17"/>
              </w:rPr>
              <w:t xml:space="preserve"> </w:t>
            </w:r>
            <w:hyperlink r:id="rId43">
              <w:r>
                <w:rPr>
                  <w:color w:val="0563C1"/>
                  <w:u w:val="single"/>
                </w:rPr>
                <w:t>Consentement éclairé du patient au traitement (octobre 2025) (en anglais seulement)</w:t>
              </w:r>
            </w:hyperlink>
            <w:r>
              <w:rPr>
                <w:sz w:val="17"/>
              </w:rPr>
              <w:t xml:space="preserve">; </w:t>
            </w:r>
          </w:p>
          <w:p w14:paraId="1DD68171" w14:textId="77777777" w:rsidR="008F10DF" w:rsidRDefault="008F10DF" w:rsidP="003E60AD">
            <w:pPr>
              <w:spacing w:after="40"/>
              <w:rPr>
                <w:sz w:val="17"/>
              </w:rPr>
            </w:pPr>
          </w:p>
          <w:p w14:paraId="292F3B8E" w14:textId="77777777" w:rsidR="000D4DBB" w:rsidRDefault="000D4DBB" w:rsidP="003E60AD">
            <w:pPr>
              <w:spacing w:after="40"/>
            </w:pPr>
            <w:hyperlink r:id="rId44">
              <w:r>
                <w:rPr>
                  <w:color w:val="0563C1"/>
                  <w:u w:val="single"/>
                </w:rPr>
                <w:t>Politiques (en anglais seulement)</w:t>
              </w:r>
            </w:hyperlink>
          </w:p>
          <w:p w14:paraId="3D9AFEF9" w14:textId="77777777" w:rsidR="002B23D3" w:rsidRDefault="002B23D3" w:rsidP="003E60AD">
            <w:pPr>
              <w:spacing w:after="40"/>
            </w:pPr>
          </w:p>
          <w:p w14:paraId="7E346F05" w14:textId="37D31CC9" w:rsidR="002B23D3" w:rsidRDefault="002B23D3" w:rsidP="002B23D3">
            <w:hyperlink r:id="rId45" w:history="1">
              <w:r>
                <w:rPr>
                  <w:rStyle w:val="Hyperlink"/>
                </w:rPr>
                <w:t>Conflit d’intérêts (en anglais seulement) :</w:t>
              </w:r>
            </w:hyperlink>
            <w:hyperlink r:id="rId46" w:history="1">
              <w:r w:rsidR="00FC462F">
                <w:t xml:space="preserve"> </w:t>
              </w:r>
              <w:r>
                <w:rPr>
                  <w:rStyle w:val="Hyperlink"/>
                </w:rPr>
                <w:t>Code d’éthique de l’AMC</w:t>
              </w:r>
            </w:hyperlink>
          </w:p>
          <w:p w14:paraId="56C1E8B1" w14:textId="71D1EF4E" w:rsidR="002B23D3" w:rsidRDefault="002B23D3" w:rsidP="003E60AD">
            <w:pPr>
              <w:spacing w:after="40"/>
            </w:pPr>
          </w:p>
        </w:tc>
      </w:tr>
      <w:tr w:rsidR="000D4DBB" w14:paraId="7FECD77F" w14:textId="77777777" w:rsidTr="00262C08">
        <w:trPr>
          <w:cantSplit/>
          <w:jc w:val="center"/>
        </w:trPr>
        <w:tc>
          <w:tcPr>
            <w:tcW w:w="3114" w:type="dxa"/>
            <w:tcMar>
              <w:top w:w="80" w:type="dxa"/>
              <w:left w:w="80" w:type="dxa"/>
              <w:bottom w:w="80" w:type="dxa"/>
              <w:right w:w="80" w:type="dxa"/>
            </w:tcMar>
          </w:tcPr>
          <w:p w14:paraId="300494CB" w14:textId="77777777" w:rsidR="000D4DBB" w:rsidRDefault="000D4DBB" w:rsidP="003E60AD">
            <w:pPr>
              <w:spacing w:after="40"/>
            </w:pPr>
            <w:r>
              <w:rPr>
                <w:sz w:val="17"/>
              </w:rPr>
              <w:t>Terre-Neuve-et-Labrador</w:t>
            </w:r>
          </w:p>
        </w:tc>
        <w:tc>
          <w:tcPr>
            <w:tcW w:w="3106" w:type="dxa"/>
            <w:tcMar>
              <w:top w:w="80" w:type="dxa"/>
              <w:left w:w="80" w:type="dxa"/>
              <w:bottom w:w="80" w:type="dxa"/>
              <w:right w:w="80" w:type="dxa"/>
            </w:tcMar>
          </w:tcPr>
          <w:p w14:paraId="3ACCFEB9" w14:textId="77777777" w:rsidR="000D4DBB" w:rsidRDefault="000D4DBB" w:rsidP="003E60AD">
            <w:pPr>
              <w:spacing w:after="40"/>
            </w:pPr>
            <w:r>
              <w:rPr>
                <w:sz w:val="17"/>
              </w:rPr>
              <w:t>Ordre des médecins et chirurgiens de Terre-Neuve-et-Labrador</w:t>
            </w:r>
          </w:p>
        </w:tc>
        <w:tc>
          <w:tcPr>
            <w:tcW w:w="3130" w:type="dxa"/>
            <w:tcMar>
              <w:top w:w="80" w:type="dxa"/>
              <w:left w:w="80" w:type="dxa"/>
              <w:bottom w:w="80" w:type="dxa"/>
              <w:right w:w="80" w:type="dxa"/>
            </w:tcMar>
          </w:tcPr>
          <w:p w14:paraId="21E3B9DF" w14:textId="77777777" w:rsidR="000D4DBB" w:rsidRDefault="000D4DBB" w:rsidP="003E60AD">
            <w:pPr>
              <w:spacing w:after="40"/>
            </w:pPr>
            <w:hyperlink r:id="rId47">
              <w:r>
                <w:rPr>
                  <w:color w:val="0563C1"/>
                  <w:u w:val="single"/>
                </w:rPr>
                <w:t>Normes d’exercice et lignes directrices sur la pratique (en anglais seulement)</w:t>
              </w:r>
            </w:hyperlink>
          </w:p>
          <w:p w14:paraId="19562A50" w14:textId="77777777" w:rsidR="00DD3766" w:rsidRDefault="00DD3766" w:rsidP="003E60AD">
            <w:pPr>
              <w:spacing w:after="40"/>
            </w:pPr>
          </w:p>
          <w:p w14:paraId="19A1FDB5" w14:textId="77777777" w:rsidR="00DD3766" w:rsidRDefault="00DD3766" w:rsidP="00DD3766">
            <w:hyperlink r:id="rId48" w:history="1">
              <w:r>
                <w:rPr>
                  <w:rStyle w:val="Hyperlink"/>
                </w:rPr>
                <w:t>Norme de pratique :</w:t>
              </w:r>
            </w:hyperlink>
            <w:hyperlink r:id="rId49" w:history="1">
              <w:r>
                <w:rPr>
                  <w:rStyle w:val="Hyperlink"/>
                </w:rPr>
                <w:t xml:space="preserve"> Conflit d’intérêts (en anglais seulement)</w:t>
              </w:r>
            </w:hyperlink>
          </w:p>
          <w:p w14:paraId="6554C3EA" w14:textId="77777777" w:rsidR="00DD3766" w:rsidRDefault="00DD3766" w:rsidP="003E60AD">
            <w:pPr>
              <w:spacing w:after="40"/>
            </w:pPr>
          </w:p>
        </w:tc>
      </w:tr>
      <w:tr w:rsidR="000D4DBB" w14:paraId="3C166B8A" w14:textId="77777777" w:rsidTr="00262C08">
        <w:trPr>
          <w:cantSplit/>
          <w:jc w:val="center"/>
        </w:trPr>
        <w:tc>
          <w:tcPr>
            <w:tcW w:w="3114" w:type="dxa"/>
            <w:tcMar>
              <w:top w:w="80" w:type="dxa"/>
              <w:left w:w="80" w:type="dxa"/>
              <w:bottom w:w="80" w:type="dxa"/>
              <w:right w:w="80" w:type="dxa"/>
            </w:tcMar>
          </w:tcPr>
          <w:p w14:paraId="3C142E21" w14:textId="77777777" w:rsidR="000D4DBB" w:rsidRDefault="000D4DBB" w:rsidP="003E60AD">
            <w:pPr>
              <w:spacing w:after="40"/>
            </w:pPr>
            <w:r>
              <w:rPr>
                <w:sz w:val="17"/>
              </w:rPr>
              <w:t>Yukon</w:t>
            </w:r>
          </w:p>
        </w:tc>
        <w:tc>
          <w:tcPr>
            <w:tcW w:w="3106" w:type="dxa"/>
            <w:tcMar>
              <w:top w:w="80" w:type="dxa"/>
              <w:left w:w="80" w:type="dxa"/>
              <w:bottom w:w="80" w:type="dxa"/>
              <w:right w:w="80" w:type="dxa"/>
            </w:tcMar>
          </w:tcPr>
          <w:p w14:paraId="6D3A7FBA" w14:textId="77777777" w:rsidR="000D4DBB" w:rsidRDefault="000D4DBB" w:rsidP="003E60AD">
            <w:pPr>
              <w:spacing w:after="40"/>
            </w:pPr>
            <w:r>
              <w:rPr>
                <w:sz w:val="17"/>
              </w:rPr>
              <w:t>Conseil médical du Yukon</w:t>
            </w:r>
          </w:p>
        </w:tc>
        <w:tc>
          <w:tcPr>
            <w:tcW w:w="3130" w:type="dxa"/>
            <w:tcMar>
              <w:top w:w="80" w:type="dxa"/>
              <w:left w:w="80" w:type="dxa"/>
              <w:bottom w:w="80" w:type="dxa"/>
              <w:right w:w="80" w:type="dxa"/>
            </w:tcMar>
          </w:tcPr>
          <w:p w14:paraId="7842F74E" w14:textId="77777777" w:rsidR="000D4DBB" w:rsidRDefault="000D4DBB" w:rsidP="003E60AD">
            <w:pPr>
              <w:spacing w:after="40"/>
            </w:pPr>
            <w:hyperlink r:id="rId50">
              <w:r>
                <w:rPr>
                  <w:color w:val="0563C1"/>
                  <w:u w:val="single"/>
                </w:rPr>
                <w:t>Législation et normes</w:t>
              </w:r>
            </w:hyperlink>
            <w:r>
              <w:rPr>
                <w:sz w:val="17"/>
              </w:rPr>
              <w:t xml:space="preserve">; </w:t>
            </w:r>
            <w:hyperlink r:id="rId51">
              <w:r>
                <w:rPr>
                  <w:color w:val="0563C1"/>
                  <w:u w:val="single"/>
                </w:rPr>
                <w:t>Conflit d’intérêts (en anglais seulement)</w:t>
              </w:r>
            </w:hyperlink>
          </w:p>
        </w:tc>
      </w:tr>
      <w:tr w:rsidR="000D4DBB" w14:paraId="5D72F0A3" w14:textId="77777777" w:rsidTr="00262C08">
        <w:trPr>
          <w:cantSplit/>
          <w:jc w:val="center"/>
        </w:trPr>
        <w:tc>
          <w:tcPr>
            <w:tcW w:w="3114" w:type="dxa"/>
            <w:tcMar>
              <w:top w:w="80" w:type="dxa"/>
              <w:left w:w="80" w:type="dxa"/>
              <w:bottom w:w="80" w:type="dxa"/>
              <w:right w:w="80" w:type="dxa"/>
            </w:tcMar>
          </w:tcPr>
          <w:p w14:paraId="43285EE1" w14:textId="77777777" w:rsidR="000D4DBB" w:rsidRDefault="000D4DBB" w:rsidP="003E60AD">
            <w:pPr>
              <w:spacing w:after="40"/>
            </w:pPr>
            <w:r>
              <w:rPr>
                <w:sz w:val="17"/>
              </w:rPr>
              <w:t>Territoires du Nord-Ouest</w:t>
            </w:r>
          </w:p>
        </w:tc>
        <w:tc>
          <w:tcPr>
            <w:tcW w:w="3106" w:type="dxa"/>
            <w:tcMar>
              <w:top w:w="80" w:type="dxa"/>
              <w:left w:w="80" w:type="dxa"/>
              <w:bottom w:w="80" w:type="dxa"/>
              <w:right w:w="80" w:type="dxa"/>
            </w:tcMar>
          </w:tcPr>
          <w:p w14:paraId="7ECCBE18" w14:textId="77777777" w:rsidR="000D4DBB" w:rsidRDefault="000D4DBB" w:rsidP="003E60AD">
            <w:pPr>
              <w:spacing w:after="40"/>
            </w:pPr>
            <w:r>
              <w:rPr>
                <w:sz w:val="17"/>
              </w:rPr>
              <w:t>Gouvernement des Territoires du Nord-Ouest, ministère de la Santé et des Services sociaux</w:t>
            </w:r>
          </w:p>
        </w:tc>
        <w:tc>
          <w:tcPr>
            <w:tcW w:w="3130" w:type="dxa"/>
            <w:tcMar>
              <w:top w:w="80" w:type="dxa"/>
              <w:left w:w="80" w:type="dxa"/>
              <w:bottom w:w="80" w:type="dxa"/>
              <w:right w:w="80" w:type="dxa"/>
            </w:tcMar>
          </w:tcPr>
          <w:p w14:paraId="0FA58F30" w14:textId="77777777" w:rsidR="000D4DBB" w:rsidRDefault="000D4DBB" w:rsidP="003E60AD">
            <w:pPr>
              <w:spacing w:after="40"/>
            </w:pPr>
            <w:hyperlink r:id="rId52">
              <w:r>
                <w:rPr>
                  <w:color w:val="0563C1"/>
                  <w:u w:val="single"/>
                </w:rPr>
                <w:t xml:space="preserve">Permis d’exercice à titre de médecin </w:t>
              </w:r>
              <w:proofErr w:type="gramStart"/>
              <w:r>
                <w:rPr>
                  <w:color w:val="0563C1"/>
                  <w:u w:val="single"/>
                </w:rPr>
                <w:t>–  normes</w:t>
              </w:r>
              <w:proofErr w:type="gramEnd"/>
              <w:r>
                <w:rPr>
                  <w:color w:val="0563C1"/>
                  <w:u w:val="single"/>
                </w:rPr>
                <w:t xml:space="preserve"> et législation</w:t>
              </w:r>
            </w:hyperlink>
            <w:r>
              <w:rPr>
                <w:sz w:val="17"/>
              </w:rPr>
              <w:t xml:space="preserve">; </w:t>
            </w:r>
            <w:hyperlink r:id="rId53">
              <w:r>
                <w:rPr>
                  <w:color w:val="0563C1"/>
                  <w:u w:val="single"/>
                </w:rPr>
                <w:t>Normes de pratique pour les médecins des Territoires du Nord-Ouest</w:t>
              </w:r>
            </w:hyperlink>
          </w:p>
        </w:tc>
      </w:tr>
      <w:tr w:rsidR="000D4DBB" w14:paraId="0D8B5A82" w14:textId="77777777" w:rsidTr="00262C08">
        <w:trPr>
          <w:cantSplit/>
          <w:jc w:val="center"/>
        </w:trPr>
        <w:tc>
          <w:tcPr>
            <w:tcW w:w="3114" w:type="dxa"/>
            <w:tcMar>
              <w:top w:w="80" w:type="dxa"/>
              <w:left w:w="80" w:type="dxa"/>
              <w:bottom w:w="80" w:type="dxa"/>
              <w:right w:w="80" w:type="dxa"/>
            </w:tcMar>
          </w:tcPr>
          <w:p w14:paraId="1D869301" w14:textId="77777777" w:rsidR="000D4DBB" w:rsidRDefault="000D4DBB" w:rsidP="003E60AD">
            <w:pPr>
              <w:spacing w:after="40"/>
            </w:pPr>
            <w:r>
              <w:rPr>
                <w:sz w:val="17"/>
              </w:rPr>
              <w:t>Nunavut</w:t>
            </w:r>
          </w:p>
        </w:tc>
        <w:tc>
          <w:tcPr>
            <w:tcW w:w="3106" w:type="dxa"/>
            <w:tcMar>
              <w:top w:w="80" w:type="dxa"/>
              <w:left w:w="80" w:type="dxa"/>
              <w:bottom w:w="80" w:type="dxa"/>
              <w:right w:w="80" w:type="dxa"/>
            </w:tcMar>
          </w:tcPr>
          <w:p w14:paraId="4EC25585" w14:textId="77777777" w:rsidR="000D4DBB" w:rsidRDefault="000D4DBB" w:rsidP="003E60AD">
            <w:pPr>
              <w:spacing w:after="40"/>
            </w:pPr>
            <w:r>
              <w:rPr>
                <w:sz w:val="17"/>
              </w:rPr>
              <w:t>Gouvernement du Nunavut</w:t>
            </w:r>
          </w:p>
        </w:tc>
        <w:tc>
          <w:tcPr>
            <w:tcW w:w="3130" w:type="dxa"/>
            <w:tcMar>
              <w:top w:w="80" w:type="dxa"/>
              <w:left w:w="80" w:type="dxa"/>
              <w:bottom w:w="80" w:type="dxa"/>
              <w:right w:w="80" w:type="dxa"/>
            </w:tcMar>
          </w:tcPr>
          <w:p w14:paraId="1057A616" w14:textId="2FA45D2E" w:rsidR="000D4DBB" w:rsidRDefault="0012260B" w:rsidP="003E60AD">
            <w:pPr>
              <w:spacing w:after="40"/>
            </w:pPr>
            <w:hyperlink r:id="rId54" w:history="1">
              <w:r>
                <w:rPr>
                  <w:rStyle w:val="Hyperlink"/>
                </w:rPr>
                <w:t>https://www.nunavutlegislation.ca/fr/consolidated-law/reglement-sur-les-medecins</w:t>
              </w:r>
            </w:hyperlink>
            <w:r>
              <w:t xml:space="preserve"> </w:t>
            </w:r>
          </w:p>
        </w:tc>
      </w:tr>
      <w:tr w:rsidR="00262C08" w14:paraId="1AEBD4CD" w14:textId="77777777" w:rsidTr="00262C08">
        <w:trPr>
          <w:cantSplit/>
          <w:jc w:val="center"/>
        </w:trPr>
        <w:tc>
          <w:tcPr>
            <w:tcW w:w="3114" w:type="dxa"/>
            <w:tcMar>
              <w:top w:w="80" w:type="dxa"/>
              <w:left w:w="80" w:type="dxa"/>
              <w:bottom w:w="80" w:type="dxa"/>
              <w:right w:w="80" w:type="dxa"/>
            </w:tcMar>
          </w:tcPr>
          <w:p w14:paraId="38FE9394" w14:textId="5B267680" w:rsidR="00262C08" w:rsidRDefault="00BA2125" w:rsidP="003E60AD">
            <w:pPr>
              <w:spacing w:after="40"/>
              <w:rPr>
                <w:sz w:val="17"/>
              </w:rPr>
            </w:pPr>
            <w:r>
              <w:rPr>
                <w:sz w:val="17"/>
              </w:rPr>
              <w:lastRenderedPageBreak/>
              <w:t>Autres ressources professionnelles à l’échelle nationale</w:t>
            </w:r>
          </w:p>
        </w:tc>
        <w:tc>
          <w:tcPr>
            <w:tcW w:w="3106" w:type="dxa"/>
            <w:tcMar>
              <w:top w:w="80" w:type="dxa"/>
              <w:left w:w="80" w:type="dxa"/>
              <w:bottom w:w="80" w:type="dxa"/>
              <w:right w:w="80" w:type="dxa"/>
            </w:tcMar>
          </w:tcPr>
          <w:p w14:paraId="19705BF3" w14:textId="02500C8A" w:rsidR="00262C08" w:rsidRDefault="00262C08" w:rsidP="003E60AD">
            <w:pPr>
              <w:spacing w:after="40"/>
              <w:rPr>
                <w:sz w:val="17"/>
              </w:rPr>
            </w:pPr>
            <w:r>
              <w:rPr>
                <w:sz w:val="17"/>
              </w:rPr>
              <w:t>Collège royal des médecins et chirurgiens du Canada.</w:t>
            </w:r>
          </w:p>
        </w:tc>
        <w:tc>
          <w:tcPr>
            <w:tcW w:w="3130" w:type="dxa"/>
            <w:tcMar>
              <w:top w:w="80" w:type="dxa"/>
              <w:left w:w="80" w:type="dxa"/>
              <w:bottom w:w="80" w:type="dxa"/>
              <w:right w:w="80" w:type="dxa"/>
            </w:tcMar>
          </w:tcPr>
          <w:p w14:paraId="304181A6" w14:textId="77777777" w:rsidR="006C167B" w:rsidRDefault="006C167B" w:rsidP="006C167B">
            <w:hyperlink r:id="rId55" w:history="1">
              <w:r>
                <w:rPr>
                  <w:rStyle w:val="Hyperlink"/>
                </w:rPr>
                <w:t>Politique du Collège royal sur les conflits d’intérêts (intérêts divergents)</w:t>
              </w:r>
            </w:hyperlink>
          </w:p>
          <w:p w14:paraId="5C179D49" w14:textId="77777777" w:rsidR="006C167B" w:rsidRDefault="006C167B" w:rsidP="006C167B"/>
          <w:p w14:paraId="10F9ED83" w14:textId="77777777" w:rsidR="006C167B" w:rsidRDefault="006C167B" w:rsidP="006C167B">
            <w:hyperlink r:id="rId56" w:history="1">
              <w:r>
                <w:rPr>
                  <w:rStyle w:val="Hyperlink"/>
                </w:rPr>
                <w:t>Comment éviter les conflits d’intérêts</w:t>
              </w:r>
            </w:hyperlink>
          </w:p>
          <w:p w14:paraId="06844230" w14:textId="77777777" w:rsidR="00262C08" w:rsidRPr="00AC4E64" w:rsidRDefault="00262C08" w:rsidP="003E60AD">
            <w:pPr>
              <w:spacing w:after="40"/>
              <w:rPr>
                <w:b/>
                <w:bCs/>
              </w:rPr>
            </w:pPr>
          </w:p>
        </w:tc>
      </w:tr>
    </w:tbl>
    <w:p w14:paraId="657A210B" w14:textId="77777777" w:rsidR="006B55E0" w:rsidRDefault="006B55E0"/>
    <w:sectPr w:rsidR="006B55E0">
      <w:headerReference w:type="even" r:id="rId57"/>
      <w:headerReference w:type="default" r:id="rId58"/>
      <w:footerReference w:type="even" r:id="rId59"/>
      <w:footerReference w:type="default" r:id="rId60"/>
      <w:headerReference w:type="first" r:id="rId61"/>
      <w:footerReference w:type="firs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01944" w14:textId="77777777" w:rsidR="00B63275" w:rsidRDefault="00B63275" w:rsidP="00BC453B">
      <w:pPr>
        <w:spacing w:after="0" w:line="240" w:lineRule="auto"/>
      </w:pPr>
      <w:r>
        <w:separator/>
      </w:r>
    </w:p>
  </w:endnote>
  <w:endnote w:type="continuationSeparator" w:id="0">
    <w:p w14:paraId="17CC0318" w14:textId="77777777" w:rsidR="00B63275" w:rsidRDefault="00B63275" w:rsidP="00BC4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D1743" w14:textId="77777777" w:rsidR="00BC453B" w:rsidRDefault="00BC4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9C7D" w14:textId="77777777" w:rsidR="00BC453B" w:rsidRDefault="00BC45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F4D6" w14:textId="77777777" w:rsidR="00BC453B" w:rsidRDefault="00BC45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278A" w14:textId="77777777" w:rsidR="00B63275" w:rsidRDefault="00B63275" w:rsidP="00BC453B">
      <w:pPr>
        <w:spacing w:after="0" w:line="240" w:lineRule="auto"/>
      </w:pPr>
      <w:r>
        <w:separator/>
      </w:r>
    </w:p>
  </w:footnote>
  <w:footnote w:type="continuationSeparator" w:id="0">
    <w:p w14:paraId="04772A91" w14:textId="77777777" w:rsidR="00B63275" w:rsidRDefault="00B63275" w:rsidP="00BC4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47B46" w14:textId="77777777" w:rsidR="00BC453B" w:rsidRDefault="00BC4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4F560" w14:textId="77777777" w:rsidR="00BC453B" w:rsidRDefault="00BC4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E2A3" w14:textId="77777777" w:rsidR="00BC453B" w:rsidRDefault="00BC45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5E0"/>
    <w:rsid w:val="00002804"/>
    <w:rsid w:val="00016D6D"/>
    <w:rsid w:val="000D4DBB"/>
    <w:rsid w:val="000E2911"/>
    <w:rsid w:val="00112973"/>
    <w:rsid w:val="0012023C"/>
    <w:rsid w:val="0012260B"/>
    <w:rsid w:val="001249A1"/>
    <w:rsid w:val="00133F82"/>
    <w:rsid w:val="001348B6"/>
    <w:rsid w:val="001537EF"/>
    <w:rsid w:val="0016385E"/>
    <w:rsid w:val="00164E47"/>
    <w:rsid w:val="00183162"/>
    <w:rsid w:val="00183848"/>
    <w:rsid w:val="001F34CF"/>
    <w:rsid w:val="002074FC"/>
    <w:rsid w:val="00235A2B"/>
    <w:rsid w:val="00262C08"/>
    <w:rsid w:val="002B23D3"/>
    <w:rsid w:val="002B7878"/>
    <w:rsid w:val="002C6E2C"/>
    <w:rsid w:val="002D6535"/>
    <w:rsid w:val="002F7B20"/>
    <w:rsid w:val="00304524"/>
    <w:rsid w:val="00362175"/>
    <w:rsid w:val="00364716"/>
    <w:rsid w:val="00386054"/>
    <w:rsid w:val="0039033D"/>
    <w:rsid w:val="003954AC"/>
    <w:rsid w:val="003D23FE"/>
    <w:rsid w:val="003D2A5C"/>
    <w:rsid w:val="00413135"/>
    <w:rsid w:val="0041500F"/>
    <w:rsid w:val="004332A5"/>
    <w:rsid w:val="00437B80"/>
    <w:rsid w:val="0044601C"/>
    <w:rsid w:val="0048603A"/>
    <w:rsid w:val="00493E3B"/>
    <w:rsid w:val="004C24F0"/>
    <w:rsid w:val="004E0BAB"/>
    <w:rsid w:val="004E1DD9"/>
    <w:rsid w:val="00542390"/>
    <w:rsid w:val="005465CC"/>
    <w:rsid w:val="00591047"/>
    <w:rsid w:val="005B3456"/>
    <w:rsid w:val="006025D2"/>
    <w:rsid w:val="00625974"/>
    <w:rsid w:val="006321CF"/>
    <w:rsid w:val="00657791"/>
    <w:rsid w:val="00663244"/>
    <w:rsid w:val="006B55E0"/>
    <w:rsid w:val="006C167B"/>
    <w:rsid w:val="00702054"/>
    <w:rsid w:val="007351B1"/>
    <w:rsid w:val="0075065E"/>
    <w:rsid w:val="00781004"/>
    <w:rsid w:val="007D21BD"/>
    <w:rsid w:val="007E5476"/>
    <w:rsid w:val="007F34D9"/>
    <w:rsid w:val="008248EE"/>
    <w:rsid w:val="008520B1"/>
    <w:rsid w:val="00870F68"/>
    <w:rsid w:val="00884A43"/>
    <w:rsid w:val="008D4FE4"/>
    <w:rsid w:val="008E78BA"/>
    <w:rsid w:val="008F10DF"/>
    <w:rsid w:val="008F38AD"/>
    <w:rsid w:val="008F3FD2"/>
    <w:rsid w:val="00913ADA"/>
    <w:rsid w:val="00914D6B"/>
    <w:rsid w:val="0093724F"/>
    <w:rsid w:val="009634ED"/>
    <w:rsid w:val="009B7BC1"/>
    <w:rsid w:val="009C36A7"/>
    <w:rsid w:val="009E3B16"/>
    <w:rsid w:val="009F7733"/>
    <w:rsid w:val="00A178C9"/>
    <w:rsid w:val="00A6005E"/>
    <w:rsid w:val="00A67B9E"/>
    <w:rsid w:val="00AB2A9B"/>
    <w:rsid w:val="00AB2FD3"/>
    <w:rsid w:val="00AC4E64"/>
    <w:rsid w:val="00AC6D00"/>
    <w:rsid w:val="00AD2437"/>
    <w:rsid w:val="00AD5D51"/>
    <w:rsid w:val="00AF3E20"/>
    <w:rsid w:val="00B018E9"/>
    <w:rsid w:val="00B12654"/>
    <w:rsid w:val="00B201C0"/>
    <w:rsid w:val="00B2088D"/>
    <w:rsid w:val="00B20AAE"/>
    <w:rsid w:val="00B279D7"/>
    <w:rsid w:val="00B511EE"/>
    <w:rsid w:val="00B63275"/>
    <w:rsid w:val="00B71F7E"/>
    <w:rsid w:val="00B82CA1"/>
    <w:rsid w:val="00BA2125"/>
    <w:rsid w:val="00BC20E5"/>
    <w:rsid w:val="00BC453B"/>
    <w:rsid w:val="00BC7F7D"/>
    <w:rsid w:val="00BE23E1"/>
    <w:rsid w:val="00C1125A"/>
    <w:rsid w:val="00C24931"/>
    <w:rsid w:val="00C3312F"/>
    <w:rsid w:val="00C6437E"/>
    <w:rsid w:val="00C750F8"/>
    <w:rsid w:val="00C9177B"/>
    <w:rsid w:val="00CD60B7"/>
    <w:rsid w:val="00D32EDA"/>
    <w:rsid w:val="00D5794A"/>
    <w:rsid w:val="00D714DB"/>
    <w:rsid w:val="00D95D07"/>
    <w:rsid w:val="00D970D7"/>
    <w:rsid w:val="00DA4E71"/>
    <w:rsid w:val="00DA4E94"/>
    <w:rsid w:val="00DC0C2B"/>
    <w:rsid w:val="00DC6792"/>
    <w:rsid w:val="00DD3766"/>
    <w:rsid w:val="00DE7E66"/>
    <w:rsid w:val="00E42EC5"/>
    <w:rsid w:val="00EA576F"/>
    <w:rsid w:val="00EB0E41"/>
    <w:rsid w:val="00EB60CC"/>
    <w:rsid w:val="00EE07BF"/>
    <w:rsid w:val="00EE0BA9"/>
    <w:rsid w:val="00F060E0"/>
    <w:rsid w:val="00F0659C"/>
    <w:rsid w:val="00F41273"/>
    <w:rsid w:val="00F515E6"/>
    <w:rsid w:val="00F6176F"/>
    <w:rsid w:val="00F61B56"/>
    <w:rsid w:val="00F62DEE"/>
    <w:rsid w:val="00FB7E21"/>
    <w:rsid w:val="00FC1F31"/>
    <w:rsid w:val="00FC462F"/>
    <w:rsid w:val="00FD2D3B"/>
    <w:rsid w:val="00FE18F5"/>
    <w:rsid w:val="00FF21C1"/>
    <w:rsid w:val="00FF66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47E3"/>
  <w15:chartTrackingRefBased/>
  <w15:docId w15:val="{2BD2825C-B63B-4486-BC84-CF221260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5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55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5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5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5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5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55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B55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5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5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5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5E0"/>
    <w:rPr>
      <w:rFonts w:eastAsiaTheme="majorEastAsia" w:cstheme="majorBidi"/>
      <w:color w:val="272727" w:themeColor="text1" w:themeTint="D8"/>
    </w:rPr>
  </w:style>
  <w:style w:type="paragraph" w:styleId="Title">
    <w:name w:val="Title"/>
    <w:basedOn w:val="Normal"/>
    <w:next w:val="Normal"/>
    <w:link w:val="TitleChar"/>
    <w:uiPriority w:val="10"/>
    <w:qFormat/>
    <w:rsid w:val="006B5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5E0"/>
    <w:pPr>
      <w:spacing w:before="160"/>
      <w:jc w:val="center"/>
    </w:pPr>
    <w:rPr>
      <w:i/>
      <w:iCs/>
      <w:color w:val="404040" w:themeColor="text1" w:themeTint="BF"/>
    </w:rPr>
  </w:style>
  <w:style w:type="character" w:customStyle="1" w:styleId="QuoteChar">
    <w:name w:val="Quote Char"/>
    <w:basedOn w:val="DefaultParagraphFont"/>
    <w:link w:val="Quote"/>
    <w:uiPriority w:val="29"/>
    <w:rsid w:val="006B55E0"/>
    <w:rPr>
      <w:i/>
      <w:iCs/>
      <w:color w:val="404040" w:themeColor="text1" w:themeTint="BF"/>
    </w:rPr>
  </w:style>
  <w:style w:type="paragraph" w:styleId="ListParagraph">
    <w:name w:val="List Paragraph"/>
    <w:basedOn w:val="Normal"/>
    <w:uiPriority w:val="34"/>
    <w:qFormat/>
    <w:rsid w:val="006B55E0"/>
    <w:pPr>
      <w:ind w:left="720"/>
      <w:contextualSpacing/>
    </w:pPr>
  </w:style>
  <w:style w:type="character" w:styleId="IntenseEmphasis">
    <w:name w:val="Intense Emphasis"/>
    <w:basedOn w:val="DefaultParagraphFont"/>
    <w:uiPriority w:val="21"/>
    <w:qFormat/>
    <w:rsid w:val="006B55E0"/>
    <w:rPr>
      <w:i/>
      <w:iCs/>
      <w:color w:val="0F4761" w:themeColor="accent1" w:themeShade="BF"/>
    </w:rPr>
  </w:style>
  <w:style w:type="paragraph" w:styleId="IntenseQuote">
    <w:name w:val="Intense Quote"/>
    <w:basedOn w:val="Normal"/>
    <w:next w:val="Normal"/>
    <w:link w:val="IntenseQuoteChar"/>
    <w:uiPriority w:val="30"/>
    <w:qFormat/>
    <w:rsid w:val="006B5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5E0"/>
    <w:rPr>
      <w:i/>
      <w:iCs/>
      <w:color w:val="0F4761" w:themeColor="accent1" w:themeShade="BF"/>
    </w:rPr>
  </w:style>
  <w:style w:type="character" w:styleId="IntenseReference">
    <w:name w:val="Intense Reference"/>
    <w:basedOn w:val="DefaultParagraphFont"/>
    <w:uiPriority w:val="32"/>
    <w:qFormat/>
    <w:rsid w:val="006B55E0"/>
    <w:rPr>
      <w:b/>
      <w:bCs/>
      <w:smallCaps/>
      <w:color w:val="0F4761" w:themeColor="accent1" w:themeShade="BF"/>
      <w:spacing w:val="5"/>
    </w:rPr>
  </w:style>
  <w:style w:type="table" w:styleId="TableGrid">
    <w:name w:val="Table Grid"/>
    <w:basedOn w:val="TableNormal"/>
    <w:uiPriority w:val="59"/>
    <w:rsid w:val="000D4DB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167B"/>
    <w:rPr>
      <w:color w:val="467886" w:themeColor="hyperlink"/>
      <w:u w:val="single"/>
    </w:rPr>
  </w:style>
  <w:style w:type="character" w:styleId="FollowedHyperlink">
    <w:name w:val="FollowedHyperlink"/>
    <w:basedOn w:val="DefaultParagraphFont"/>
    <w:uiPriority w:val="99"/>
    <w:semiHidden/>
    <w:unhideWhenUsed/>
    <w:rsid w:val="0012023C"/>
    <w:rPr>
      <w:color w:val="96607D" w:themeColor="followedHyperlink"/>
      <w:u w:val="single"/>
    </w:rPr>
  </w:style>
  <w:style w:type="character" w:styleId="UnresolvedMention">
    <w:name w:val="Unresolved Mention"/>
    <w:basedOn w:val="DefaultParagraphFont"/>
    <w:uiPriority w:val="99"/>
    <w:semiHidden/>
    <w:unhideWhenUsed/>
    <w:rsid w:val="001348B6"/>
    <w:rPr>
      <w:color w:val="605E5C"/>
      <w:shd w:val="clear" w:color="auto" w:fill="E1DFDD"/>
    </w:rPr>
  </w:style>
  <w:style w:type="paragraph" w:styleId="Revision">
    <w:name w:val="Revision"/>
    <w:hidden/>
    <w:uiPriority w:val="99"/>
    <w:semiHidden/>
    <w:rsid w:val="00C24931"/>
    <w:pPr>
      <w:spacing w:after="0" w:line="240" w:lineRule="auto"/>
    </w:pPr>
  </w:style>
  <w:style w:type="paragraph" w:styleId="NormalWeb">
    <w:name w:val="Normal (Web)"/>
    <w:basedOn w:val="Normal"/>
    <w:uiPriority w:val="99"/>
    <w:semiHidden/>
    <w:unhideWhenUsed/>
    <w:rsid w:val="00F6176F"/>
    <w:rPr>
      <w:rFonts w:ascii="Times New Roman" w:hAnsi="Times New Roman" w:cs="Times New Roman"/>
    </w:rPr>
  </w:style>
  <w:style w:type="character" w:styleId="CommentReference">
    <w:name w:val="annotation reference"/>
    <w:basedOn w:val="DefaultParagraphFont"/>
    <w:uiPriority w:val="99"/>
    <w:semiHidden/>
    <w:unhideWhenUsed/>
    <w:rsid w:val="00AB2A9B"/>
    <w:rPr>
      <w:sz w:val="16"/>
      <w:szCs w:val="16"/>
    </w:rPr>
  </w:style>
  <w:style w:type="paragraph" w:styleId="CommentText">
    <w:name w:val="annotation text"/>
    <w:basedOn w:val="Normal"/>
    <w:link w:val="CommentTextChar"/>
    <w:uiPriority w:val="99"/>
    <w:unhideWhenUsed/>
    <w:rsid w:val="00AB2A9B"/>
    <w:pPr>
      <w:spacing w:line="240" w:lineRule="auto"/>
    </w:pPr>
    <w:rPr>
      <w:sz w:val="20"/>
      <w:szCs w:val="20"/>
    </w:rPr>
  </w:style>
  <w:style w:type="character" w:customStyle="1" w:styleId="CommentTextChar">
    <w:name w:val="Comment Text Char"/>
    <w:basedOn w:val="DefaultParagraphFont"/>
    <w:link w:val="CommentText"/>
    <w:uiPriority w:val="99"/>
    <w:rsid w:val="00AB2A9B"/>
    <w:rPr>
      <w:sz w:val="20"/>
      <w:szCs w:val="20"/>
    </w:rPr>
  </w:style>
  <w:style w:type="paragraph" w:styleId="CommentSubject">
    <w:name w:val="annotation subject"/>
    <w:basedOn w:val="CommentText"/>
    <w:next w:val="CommentText"/>
    <w:link w:val="CommentSubjectChar"/>
    <w:uiPriority w:val="99"/>
    <w:semiHidden/>
    <w:unhideWhenUsed/>
    <w:rsid w:val="00AB2A9B"/>
    <w:rPr>
      <w:b/>
      <w:bCs/>
    </w:rPr>
  </w:style>
  <w:style w:type="character" w:customStyle="1" w:styleId="CommentSubjectChar">
    <w:name w:val="Comment Subject Char"/>
    <w:basedOn w:val="CommentTextChar"/>
    <w:link w:val="CommentSubject"/>
    <w:uiPriority w:val="99"/>
    <w:semiHidden/>
    <w:rsid w:val="00AB2A9B"/>
    <w:rPr>
      <w:b/>
      <w:bCs/>
      <w:sz w:val="20"/>
      <w:szCs w:val="20"/>
    </w:rPr>
  </w:style>
  <w:style w:type="paragraph" w:styleId="Header">
    <w:name w:val="header"/>
    <w:basedOn w:val="Normal"/>
    <w:link w:val="HeaderChar"/>
    <w:uiPriority w:val="99"/>
    <w:unhideWhenUsed/>
    <w:rsid w:val="00BC453B"/>
    <w:pPr>
      <w:tabs>
        <w:tab w:val="center" w:pos="4320"/>
        <w:tab w:val="right" w:pos="8640"/>
      </w:tabs>
      <w:spacing w:after="0" w:line="240" w:lineRule="auto"/>
    </w:pPr>
  </w:style>
  <w:style w:type="character" w:customStyle="1" w:styleId="HeaderChar">
    <w:name w:val="Header Char"/>
    <w:basedOn w:val="DefaultParagraphFont"/>
    <w:link w:val="Header"/>
    <w:uiPriority w:val="99"/>
    <w:rsid w:val="00BC453B"/>
  </w:style>
  <w:style w:type="paragraph" w:styleId="Footer">
    <w:name w:val="footer"/>
    <w:basedOn w:val="Normal"/>
    <w:link w:val="FooterChar"/>
    <w:uiPriority w:val="99"/>
    <w:unhideWhenUsed/>
    <w:rsid w:val="00BC453B"/>
    <w:pPr>
      <w:tabs>
        <w:tab w:val="center" w:pos="4320"/>
        <w:tab w:val="right" w:pos="8640"/>
      </w:tabs>
      <w:spacing w:after="0" w:line="240" w:lineRule="auto"/>
    </w:pPr>
  </w:style>
  <w:style w:type="character" w:customStyle="1" w:styleId="FooterChar">
    <w:name w:val="Footer Char"/>
    <w:basedOn w:val="DefaultParagraphFont"/>
    <w:link w:val="Footer"/>
    <w:uiPriority w:val="99"/>
    <w:rsid w:val="00BC4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psbc.ca/files/pdf/CPSBC-PS-Charging-for-Uninsured-Services.pdf" TargetMode="External"/><Relationship Id="rId18" Type="http://schemas.openxmlformats.org/officeDocument/2006/relationships/hyperlink" Target="https://cpsa.ca/wp-content/uploads/2020/05/Relationships-with-Industry.pdf" TargetMode="External"/><Relationship Id="rId26" Type="http://schemas.openxmlformats.org/officeDocument/2006/relationships/hyperlink" Target="https://umanitoba.ca/health-sciences/rady-faculty-health-sciences-policies" TargetMode="External"/><Relationship Id="rId39" Type="http://schemas.openxmlformats.org/officeDocument/2006/relationships/hyperlink" Target="https://cpsns.ns.ca/registrants/physicians/standards-guidelines/billing/" TargetMode="External"/><Relationship Id="rId21" Type="http://schemas.openxmlformats.org/officeDocument/2006/relationships/hyperlink" Target="https://medicine.usask.ca/documents/CPSSRegulatoryBylaws.pdf" TargetMode="External"/><Relationship Id="rId34" Type="http://schemas.openxmlformats.org/officeDocument/2006/relationships/hyperlink" Target="https://policybase.cma.ca/viewer?file=%2Fmedia%2FPolicyPDF%2FPD27-01F.pdf" TargetMode="External"/><Relationship Id="rId42" Type="http://schemas.openxmlformats.org/officeDocument/2006/relationships/hyperlink" Target="https://www.cpspei.ca/wp-content/uploads/2025/10/Charging-for-Uninsured-Services-Oct-2025.pdf" TargetMode="External"/><Relationship Id="rId47" Type="http://schemas.openxmlformats.org/officeDocument/2006/relationships/hyperlink" Target="https://cpsnl.ca/standards-of-practice-and-practice-guidelines/" TargetMode="External"/><Relationship Id="rId50" Type="http://schemas.openxmlformats.org/officeDocument/2006/relationships/hyperlink" Target="https://www.yukonmedicalcouncil.ca/index.php/legislation-and-standards" TargetMode="External"/><Relationship Id="rId55" Type="http://schemas.openxmlformats.org/officeDocument/2006/relationships/hyperlink" Target="https://www.royalcollege.ca/fr/get-involved/contributor-resources/conflict-of-interest-policy"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cpsa.ca/physicians/standards-of-practice/relationships-with-industry/" TargetMode="External"/><Relationship Id="rId29" Type="http://schemas.openxmlformats.org/officeDocument/2006/relationships/hyperlink" Target="https://www.cpso.on.ca/Physicians/Policies-Guidance/Policies" TargetMode="External"/><Relationship Id="rId11" Type="http://schemas.openxmlformats.org/officeDocument/2006/relationships/hyperlink" Target="https://www.cpsbc.ca/files/pdf/CPSBC-PS-Promotion-Sale-Medical-Supplies-Devices.pdf" TargetMode="External"/><Relationship Id="rId24" Type="http://schemas.openxmlformats.org/officeDocument/2006/relationships/hyperlink" Target="https://cpsm.mb.ca/laws-and-policies/standards-of-practice-of-medicine" TargetMode="External"/><Relationship Id="rId32" Type="http://schemas.openxmlformats.org/officeDocument/2006/relationships/hyperlink" Target="https://www.legisquebec.gouv.qc.ca/fr/document/rc/M-9,%20r.%2017" TargetMode="External"/><Relationship Id="rId37" Type="http://schemas.openxmlformats.org/officeDocument/2006/relationships/hyperlink" Target="https://cpsns.ns.ca/registrants/physicians/standards-guidelines/conflict-of-interest/" TargetMode="External"/><Relationship Id="rId40" Type="http://schemas.openxmlformats.org/officeDocument/2006/relationships/hyperlink" Target="https://cpsns.ns.ca/registrants/physicians/standards-guidelines/interest-or-ownership-in-a-facility-or-enterprise/" TargetMode="External"/><Relationship Id="rId45" Type="http://schemas.openxmlformats.org/officeDocument/2006/relationships/hyperlink" Target="https://www.cpspei.ca/wp-content/uploads/2019/08/CMA-CODE-OF-ETHICS-UPDATED-2018-Approved-Aug-1219.pdf" TargetMode="External"/><Relationship Id="rId53" Type="http://schemas.openxmlformats.org/officeDocument/2006/relationships/hyperlink" Target="https://www.hss.gov.nt.ca/sites/hss/files/resources/nwt-physician-standard-practice-fr.pdf" TargetMode="External"/><Relationship Id="rId58"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header" Target="header3.xml"/><Relationship Id="rId19" Type="http://schemas.openxmlformats.org/officeDocument/2006/relationships/hyperlink" Target="https://www.cps.sk.ca/imis/ContentBuddyDownload.aspx?DocumentVersionKey=e3347168-83e4-4f48-b19d-6a4eb7a6103d" TargetMode="External"/><Relationship Id="rId14" Type="http://schemas.openxmlformats.org/officeDocument/2006/relationships/hyperlink" Target="https://cpsa.ca/physicians/standards-of-practice/" TargetMode="External"/><Relationship Id="rId22" Type="http://schemas.openxmlformats.org/officeDocument/2006/relationships/hyperlink" Target="https://www.cps.sk.ca/imis/ContentBuddyDownload.aspx?DocumentVersionKey=293b448a-cef3-4400-9a4f-75e1be9119b0" TargetMode="External"/><Relationship Id="rId27" Type="http://schemas.openxmlformats.org/officeDocument/2006/relationships/hyperlink" Target="https://www.cpso.on.ca/Physicians/Policies-Guidance/Policies/Physicians-Relationships-with-Industry-Practice" TargetMode="External"/><Relationship Id="rId30" Type="http://schemas.openxmlformats.org/officeDocument/2006/relationships/hyperlink" Target="https://www.cpso.on.ca/Physicians/Policies-Guidance/Policies/Uninsured-Services-Billing-and-Block-Fees" TargetMode="External"/><Relationship Id="rId35" Type="http://schemas.openxmlformats.org/officeDocument/2006/relationships/hyperlink" Target="https://cpsnb.org/assets/32ab85d4-8ea0-4a19-8c65-30c53f0c93a7/Code%20d'%C3%A9thique%20et%20de%20professionalisme.pdf" TargetMode="External"/><Relationship Id="rId43" Type="http://schemas.openxmlformats.org/officeDocument/2006/relationships/hyperlink" Target="https://www.cpspei.ca/wp-content/uploads/2025/10/Informed-Patient-Consent-to-Treatment-Oct-2025.pdf" TargetMode="External"/><Relationship Id="rId48" Type="http://schemas.openxmlformats.org/officeDocument/2006/relationships/hyperlink" Target="https://cpsnl.ca/wp-content/uploads/Standards-and-Guidelines/Conflict-of-Interest.pdf" TargetMode="External"/><Relationship Id="rId56" Type="http://schemas.openxmlformats.org/officeDocument/2006/relationships/hyperlink" Target="https://www.royalcollege.ca/fr/standards-and-accreditation/cpd-accreditation/tools-and-resources/toolkit-conflicts-of-interest"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yukonmedicalcouncil.ca/pdfs/Conflict_of_Interest.pdf" TargetMode="External"/><Relationship Id="rId3" Type="http://schemas.openxmlformats.org/officeDocument/2006/relationships/customXml" Target="../customXml/item3.xml"/><Relationship Id="rId12" Type="http://schemas.openxmlformats.org/officeDocument/2006/relationships/hyperlink" Target="https://www.cpsbc.ca/registrants/standards-guidelines" TargetMode="External"/><Relationship Id="rId17" Type="http://schemas.openxmlformats.org/officeDocument/2006/relationships/hyperlink" Target="https://cpsa.ca/physicians/standards-of-practice/charging-for-uninsured-professional-services/" TargetMode="External"/><Relationship Id="rId25" Type="http://schemas.openxmlformats.org/officeDocument/2006/relationships/hyperlink" Target="https://cpsm.mb.ca/assets/Standards%20of%20Practice/Standard%20of%20Practice%20Conflict%20of%20Interest.pdf" TargetMode="External"/><Relationship Id="rId33" Type="http://schemas.openxmlformats.org/officeDocument/2006/relationships/hyperlink" Target="https://www.fmoq.org/pratique/facturation/frais-accessoires/facturation-des-frais-accessoires-et-des-services-non-assures/" TargetMode="External"/><Relationship Id="rId38" Type="http://schemas.openxmlformats.org/officeDocument/2006/relationships/hyperlink" Target="https://cpsns.ns.ca/registrants/physicians/standards-guidelines/sale-of-products-and-services-to-patients/" TargetMode="External"/><Relationship Id="rId46" Type="http://schemas.openxmlformats.org/officeDocument/2006/relationships/hyperlink" Target="https://www.cpspei.ca/wp-content/uploads/2019/08/CMA-CODE-OF-ETHICS-UPDATED-2018-Approved-Aug-1219.pdf" TargetMode="External"/><Relationship Id="rId59" Type="http://schemas.openxmlformats.org/officeDocument/2006/relationships/footer" Target="footer1.xml"/><Relationship Id="rId20" Type="http://schemas.openxmlformats.org/officeDocument/2006/relationships/hyperlink" Target="https://www.cps.sk.ca/imis/CPSS/Legislation__ByLaws__Policies_and_Guidelines/Policies_and_Guidelines.aspx" TargetMode="External"/><Relationship Id="rId41" Type="http://schemas.openxmlformats.org/officeDocument/2006/relationships/hyperlink" Target="https://cpsns.ns.ca/registrants/physicians/standards-guidelines/conflict-of-interest/" TargetMode="External"/><Relationship Id="rId54" Type="http://schemas.openxmlformats.org/officeDocument/2006/relationships/hyperlink" Target="https://www.nunavutlegislation.ca/fr/consolidated-law/reglement-sur-les-medecins"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psa.ca/physicians/standards-of-practice/sale-of-products-by-physicians/" TargetMode="External"/><Relationship Id="rId23" Type="http://schemas.openxmlformats.org/officeDocument/2006/relationships/hyperlink" Target="https://cpsm.mb.ca/assets/Standards%20of%20Practice/Standard%20of%20Practice%20Conflict%20of%20Interest.pdf" TargetMode="External"/><Relationship Id="rId28" Type="http://schemas.openxmlformats.org/officeDocument/2006/relationships/hyperlink" Target="https://www.cpso.on.ca/Physicians/Policies-Guidance/Policies/Physicians-Relationships-with-Industry-Practice/Advice-to-the-Profession-Physicians-Relationships" TargetMode="External"/><Relationship Id="rId36" Type="http://schemas.openxmlformats.org/officeDocument/2006/relationships/hyperlink" Target="https://cpsnb.org/assets/2b72b191-a1aa-4b78-a267-5ddcbde356d9/Charging%20for%20Uninsured%20Services.pdf" TargetMode="External"/><Relationship Id="rId49" Type="http://schemas.openxmlformats.org/officeDocument/2006/relationships/hyperlink" Target="https://cpsnl.ca/wp-content/uploads/Standards-and-Guidelines/Conflict-of-Interest.pdf" TargetMode="External"/><Relationship Id="rId57" Type="http://schemas.openxmlformats.org/officeDocument/2006/relationships/header" Target="header1.xml"/><Relationship Id="rId10" Type="http://schemas.openxmlformats.org/officeDocument/2006/relationships/hyperlink" Target="https://www.cpsbc.ca/files/pdf/CPSBC-PS-Conflict-of-Interest.pdf" TargetMode="External"/><Relationship Id="rId31" Type="http://schemas.openxmlformats.org/officeDocument/2006/relationships/hyperlink" Target="https://www.cmq.org/fr/pratiquer-la-medecine/reglements-obligations" TargetMode="External"/><Relationship Id="rId44" Type="http://schemas.openxmlformats.org/officeDocument/2006/relationships/hyperlink" Target="https://www.cpspei.ca/policies/" TargetMode="External"/><Relationship Id="rId52" Type="http://schemas.openxmlformats.org/officeDocument/2006/relationships/hyperlink" Target="https://www.hss.gov.nt.ca/fr/services/permis-medecin" TargetMode="External"/><Relationship Id="rId60"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b07f8157-863c-4717-95ab-056b80b8655e" xsi:nil="true"/>
    <MigrationWizIdDocumentLibraryPermissions xmlns="b07f8157-863c-4717-95ab-056b80b8655e" xsi:nil="true"/>
    <MigrationWizIdSecurityGroups xmlns="b07f8157-863c-4717-95ab-056b80b8655e" xsi:nil="true"/>
    <MigrationWizIdVersion xmlns="b07f8157-863c-4717-95ab-056b80b8655e" xsi:nil="true"/>
    <TaxCatchAll xmlns="c684e4c8-cef0-4805-9987-131acb8ee2f4" xsi:nil="true"/>
    <MigrationWizIdPermissions xmlns="b07f8157-863c-4717-95ab-056b80b8655e" xsi:nil="true"/>
    <Specialty xmlns="b07f8157-863c-4717-95ab-056b80b8655e" xsi:nil="true"/>
    <MigrationWizId xmlns="b07f8157-863c-4717-95ab-056b80b8655e" xsi:nil="true"/>
    <MigrationSourceURL xmlns="b07f8157-863c-4717-95ab-056b80b8655e" xsi:nil="true"/>
    <lcf76f155ced4ddcb4097134ff3c332f xmlns="b07f8157-863c-4717-95ab-056b80b8655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2837C3E44BF64EB5D634832F636996" ma:contentTypeVersion="27" ma:contentTypeDescription="Create a new document." ma:contentTypeScope="" ma:versionID="b92491c89125fafb195daf8bd80f85f1">
  <xsd:schema xmlns:xsd="http://www.w3.org/2001/XMLSchema" xmlns:xs="http://www.w3.org/2001/XMLSchema" xmlns:p="http://schemas.microsoft.com/office/2006/metadata/properties" xmlns:ns2="b07f8157-863c-4717-95ab-056b80b8655e" xmlns:ns3="c684e4c8-cef0-4805-9987-131acb8ee2f4" targetNamespace="http://schemas.microsoft.com/office/2006/metadata/properties" ma:root="true" ma:fieldsID="6c8fc11ed0b616eb4be32f69dc431196" ns2:_="" ns3:_="">
    <xsd:import namespace="b07f8157-863c-4717-95ab-056b80b8655e"/>
    <xsd:import namespace="c684e4c8-cef0-4805-9987-131acb8ee2f4"/>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igrationWizIdVersion" minOccurs="0"/>
                <xsd:element ref="ns2:MigrationSourceUR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f8157-863c-4717-95ab-056b80b8655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igrationWizIdVersion" ma:index="13" nillable="true" ma:displayName="MigrationWizIdVersion" ma:internalName="MigrationWizIdVersion">
      <xsd:simpleType>
        <xsd:restriction base="dms:Text"/>
      </xsd:simpleType>
    </xsd:element>
    <xsd:element name="MigrationSourceURL" ma:index="14" nillable="true" ma:displayName="MigrationSourceURL" ma:internalName="MigrationSourceURL" ma:readOnly="false">
      <xsd:simpleType>
        <xsd:restriction base="dms:Note">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3346d26f-6be3-4640-9ddb-2995009c84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Specialty" ma:index="34" nillable="true" ma:displayName="Specialty" ma:format="Dropdown" ma:internalName="Special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84e4c8-cef0-4805-9987-131acb8ee2f4"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f3959a2f-bcf7-486e-9bac-981abfec5e3e}" ma:internalName="TaxCatchAll" ma:showField="CatchAllData" ma:web="c684e4c8-cef0-4805-9987-131acb8ee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A76C84-0B41-469A-852F-88192D35526A}">
  <ds:schemaRefs>
    <ds:schemaRef ds:uri="http://schemas.microsoft.com/office/2006/metadata/properties"/>
    <ds:schemaRef ds:uri="http://schemas.microsoft.com/office/infopath/2007/PartnerControls"/>
    <ds:schemaRef ds:uri="b07f8157-863c-4717-95ab-056b80b8655e"/>
    <ds:schemaRef ds:uri="c684e4c8-cef0-4805-9987-131acb8ee2f4"/>
  </ds:schemaRefs>
</ds:datastoreItem>
</file>

<file path=customXml/itemProps2.xml><?xml version="1.0" encoding="utf-8"?>
<ds:datastoreItem xmlns:ds="http://schemas.openxmlformats.org/officeDocument/2006/customXml" ds:itemID="{E58949F7-1CB7-4C2E-8C02-80CE1BD93DC6}">
  <ds:schemaRefs>
    <ds:schemaRef ds:uri="http://schemas.microsoft.com/sharepoint/v3/contenttype/forms"/>
  </ds:schemaRefs>
</ds:datastoreItem>
</file>

<file path=customXml/itemProps3.xml><?xml version="1.0" encoding="utf-8"?>
<ds:datastoreItem xmlns:ds="http://schemas.openxmlformats.org/officeDocument/2006/customXml" ds:itemID="{5D0DA502-6011-4784-A302-21339EF59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f8157-863c-4717-95ab-056b80b8655e"/>
    <ds:schemaRef ds:uri="c684e4c8-cef0-4805-9987-131acb8ee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2941</Words>
  <Characters>16767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Fowler</dc:creator>
  <cp:keywords/>
  <dc:description/>
  <cp:lastModifiedBy>Moneika Ramsinghani</cp:lastModifiedBy>
  <cp:revision>2</cp:revision>
  <dcterms:created xsi:type="dcterms:W3CDTF">2026-10-29T18:55:00Z</dcterms:created>
  <dcterms:modified xsi:type="dcterms:W3CDTF">2026-10-29T18:55:00Z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0x010100402837C3E44BF64EB5D634832F636996</vt:lpwstr>
  </property>
  <property fmtid="{D5CDD505-2E9C-101B-9397-08002B2CF9AE}" pid="3" name="MediaServiceImageTags">
    <vt:lpwstr/>
  </property>
</Properties>
</file>